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BKMBGebV — Höhe der Gebühren und Auslagen</w:t>
      </w:r>
    </w:p>
    <w:p>
      <w:r>
        <w:rPr>
          <w:color w:val="555555"/>
          <w:sz w:val="18"/>
        </w:rPr>
        <w:t xml:space="preserve">Besondere Gebührenverordnung BKM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Die Höhe der Gebühren und Auslagen richtet sich nach dem Gebühren- und Auslagenverzeichnis in der Anlage. Das Gebühren- und Auslagenverzeichnis regelt ferner die Tatbestände für eine Gebühren- und Auslagenbefreiung.</w:t>
      </w:r>
    </w:p>
    <w:p>
      <w:r>
        <w:t xml:space="preserve">(2) Die nach dem Gebühren- und Auslagenverzeichnis zu erhebenden Gebühren und Auslagen umfassen jeweils auch die Kosten für die Festsetzung der Gebühren und Auslagen.</w:t>
      </w:r>
    </w:p>
    <w:p>
      <w:r>
        <w:t xml:space="preserve">(3) Auslagen, die nicht im Gebühren- und Auslagenverzeichnis aufgeführt sind, sind mit der Gebühr abgegolten.</w:t>
      </w:r>
    </w:p>
    <w:p>
      <w:r>
        <w:t xml:space="preserve">(4) Auslagen werden unbeschadet des § 1 Absatz 2 auch dann erhoben, wenn</w:t>
      </w:r>
    </w:p>
    <w:p>
      <w:pPr>
        <w:ind w:left="420"/>
      </w:pPr>
      <w:r>
        <w:t xml:space="preserve">1. die individuell zurechenbare öffentliche Leistung gebührenfrei ist oder</w:t>
      </w:r>
    </w:p>
    <w:p>
      <w:pPr>
        <w:ind w:left="420"/>
      </w:pPr>
      <w:r>
        <w:t xml:space="preserve">2. von einer Gebührenerhebung abgesehen wird.</w:t>
      </w:r>
    </w:p>
    <w:p>
      <w:r>
        <w:t xml:space="preserve">In diesen Fällen werden Auslagen erst ab einer Höhe von 3 Euro erhoben.</w:t>
      </w:r>
    </w:p>
    <w:p>
      <w:r>
        <w:rPr>
          <w:color w:val="555555"/>
          <w:sz w:val="17"/>
        </w:rPr>
        <w:t xml:space="preserve">Zitiervorschlag: § 2 BKMBGebV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https://recht.nulegal.eu/gesetze/BKMBGebV/2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