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BKGebV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Auf Grund des § 22 Absatz 4 Satz 1 in Verbindung mit Absatz 1 Satz 2 und 3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