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BKGebV — Inkrafttreten</w:t>
      </w:r>
    </w:p>
    <w:p>
      <w:r>
        <w:rPr>
          <w:color w:val="555555"/>
          <w:sz w:val="18"/>
        </w:rPr>
        <w:t xml:space="preserve">Besondere Gebührenverordnung der Beschlusskammern Post und Telekommunikation der Bundesnetzagentur</w:t>
      </w:r>
    </w:p>
    <w:p>
      <w:r>
        <w:rPr>
          <w:color w:val="555555"/>
          <w:sz w:val="18"/>
        </w:rPr>
        <w:t xml:space="preserve">Historische Fassung: Stand 02.10.2019 bis 01.10.2021.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BKGebV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https://recht.nulegal.eu/gesetze/BKGebV/6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