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BKGebV — Zeitlicher Anwendungsbereich</w:t>
      </w:r>
    </w:p>
    <w:p>
      <w:r>
        <w:rPr>
          <w:color w:val="555555"/>
          <w:sz w:val="18"/>
        </w:rPr>
        <w:t xml:space="preserve">Besondere Gebührenverordnung der Beschlusskammern Post und Telekommunikation der Bundesnetzagentur</w:t>
      </w:r>
    </w:p>
    <w:p>
      <w:r>
        <w:rPr>
          <w:color w:val="555555"/>
          <w:sz w:val="18"/>
        </w:rPr>
        <w:t xml:space="preserve">Historische Fassung: Stand 02.10.2019 bis 01.10.2021. Dies ist nicht die aktuelle Fassung.</w:t>
      </w:r>
    </w:p>
    <w:p>
      <w:r>
        <w:t xml:space="preserve">Gebühren und Auslagen nach § 1 in Verbindung mit Anlage 1 oder 2 werden für individuell zurechenbare öffentliche Leistungen der Beschlusskammern erhoben, die nach Inkrafttreten dieser Verordnung begonnen werden.</w:t>
      </w:r>
    </w:p>
    <w:p>
      <w:r>
        <w:rPr>
          <w:color w:val="555555"/>
          <w:sz w:val="17"/>
        </w:rPr>
        <w:t xml:space="preserve">Zitiervorschlag: § 5 BKGebV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https://recht.nulegal.eu/gesetze/BKGebV/5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