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BKGebV — Gebührenbemessung bei Entscheidungen von besonderem öffentlichen Interesse</w:t>
      </w:r>
    </w:p>
    <w:p>
      <w:r>
        <w:rPr>
          <w:color w:val="555555"/>
          <w:sz w:val="18"/>
        </w:rPr>
        <w:t xml:space="preserve">Besondere Gebührenverordnung der Beschlusskammern Post und Telekommunikation der Bundesnetzagentur</w:t>
      </w:r>
    </w:p>
    <w:p>
      <w:r>
        <w:rPr>
          <w:color w:val="555555"/>
          <w:sz w:val="18"/>
        </w:rPr>
        <w:t xml:space="preserve">Historische Fassung: Stand 02.10.2019 bis 01.10.2021. Dies ist nicht die aktuelle Fassung.</w:t>
      </w:r>
    </w:p>
    <w:p>
      <w:r>
        <w:t xml:space="preserve">In den Fällen der §§ 13 und 14 des Postgesetzes sowie des § 55 Absatz 10 in Verbindung mit § 61 sowie der §§ 77n und 81 des Telekommunikationsgesetzes werden keine Gebühren erhoben.</w:t>
      </w:r>
    </w:p>
    <w:p>
      <w:r>
        <w:rPr>
          <w:color w:val="555555"/>
          <w:sz w:val="17"/>
        </w:rPr>
        <w:t xml:space="preserve">Zitiervorschlag: § 4 BKGebV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https://recht.nulegal.eu/gesetze/BKGebV/4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