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BKGebV — Gebührenhöhe</w:t>
      </w:r>
    </w:p>
    <w:p>
      <w:r>
        <w:rPr>
          <w:color w:val="555555"/>
          <w:sz w:val="18"/>
        </w:rPr>
        <w:t xml:space="preserve">Besondere Gebührenverordnung der Beschlusskammern Post und Telekommunikation der Bundesnetzagentur</w:t>
      </w:r>
    </w:p>
    <w:p>
      <w:r>
        <w:rPr>
          <w:color w:val="555555"/>
          <w:sz w:val="18"/>
        </w:rPr>
        <w:t xml:space="preserve">Historische Fassung: Stand 02.10.2019 bis 01.10.2021. Dies ist nicht die aktuelle Fassung.</w:t>
      </w:r>
    </w:p>
    <w:p>
      <w:r>
        <w:t xml:space="preserve">Die Höhe der zu erhebenden Gebühren richtet sich nach den Gebührenverzeichnissen in Anlage 1 und 2. Die Möglichkeit, eine niedrigere Gebühr oder eine Gebührenbefreiung gemäß § 9 Absatz 5 des Bundesgebührengesetzes zu bestimmen, bleibt unberührt.</w:t>
      </w:r>
    </w:p>
    <w:p>
      <w:r>
        <w:rPr>
          <w:color w:val="555555"/>
          <w:sz w:val="17"/>
        </w:rPr>
        <w:t xml:space="preserve">Zitiervorschlag: § 3 BKGebV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https://recht.nulegal.eu/gesetze/BKGebV/3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