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BKGG 1996 — Antrag</w:t>
      </w:r>
    </w:p>
    <w:p>
      <w:r>
        <w:rPr>
          <w:color w:val="555555"/>
          <w:sz w:val="18"/>
        </w:rPr>
        <w:t xml:space="preserve">Bundeskindergeldgesetz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(1) Das Kindergeld und der Kinderzuschlag sind schriftlich zu beantragen. Der Antrag soll bei der nach § 13 zuständigen Familienkasse gestellt werden. Den Antrag kann außer dem Berechtigten auch stellen, wer ein berechtigtes Interesse an der Leistung des Kindergeldes hat.</w:t>
      </w:r>
    </w:p>
    <w:p>
      <w:r>
        <w:t xml:space="preserve">(2) Vollendet ein Kind das 18. Lebensjahr, so wird es für den Anspruch auf Kindergeld nur dann weiterhin berücksichtigt, wenn der oder die Berechtigte anzeigt, dass die Voraussetzungen des § 2 Absatz 2 vorliegen. Absatz 1 gilt entsprechend.</w:t>
      </w:r>
    </w:p>
    <w:p>
      <w:r>
        <w:t xml:space="preserve">(3) Die Leistungen für Bildung und Teilhabe sind bei der zuständigen Stelle zu beantragen. Absatz 1 Satz 3 gilt entsprechend.</w:t>
      </w:r>
    </w:p>
    <w:p>
      <w:r>
        <w:rPr>
          <w:color w:val="555555"/>
          <w:sz w:val="17"/>
        </w:rPr>
        <w:t xml:space="preserve">Zitiervorschlag: § 9 BKGG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https://recht.nulegal.eu/gesetze/BKGG%201996/9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