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BKGG 1996 — Datenübermittlung</w:t>
      </w:r>
    </w:p>
    <w:p>
      <w:r>
        <w:rPr>
          <w:color w:val="555555"/>
          <w:sz w:val="18"/>
        </w:rPr>
        <w:t xml:space="preserve">Bundeskindergeldgesetz</w:t>
      </w:r>
    </w:p>
    <w:p>
      <w:r>
        <w:rPr>
          <w:color w:val="555555"/>
          <w:sz w:val="18"/>
        </w:rPr>
        <w:t xml:space="preserve">Stand: 06.12.2024 (konsolidierte Textfassung, kein amtliches Inkrafttretensdatum)</w:t>
      </w:r>
    </w:p>
    <w:p>
      <w:r>
        <w:t xml:space="preserve">(1) Die Träger der Leistungen nach § 6b und die Träger der Grundsicherung für Arbeitsuchende teilen sich alle Tatsachen mit, die für die Erbringung und Abrechnung der Leistungen nach § 6b dieses Gesetzes und § 28 des Zweiten Buches Sozialgesetzbuch erforderlich sind.</w:t>
      </w:r>
    </w:p>
    <w:p>
      <w:r>
        <w:t xml:space="preserve">(2) Die zuständige Familienkasse übermittelt dem Bundeszentralamt für Steuern unter den Vorgaben des § 139b Absatz 10 Satz 2 und 3 der Abgabenordnung die internationale Bankkontonummer (IBAN), bei ausländischen Kreditinstituten auch den internationalen Banken-Identifizierungsschlüssel (BIC), des Kontos, auf welches das Kindergeld zuletzt ausgezahlt worden ist. Ist in den Fällen des Satzes 1 der Familienkasse die Identifikationsnummer nicht bekannt, darf sie diese Identifikationsnummer unter Angabe der in § 139b Absatz 3 der Abgabenordnung genannten Daten beim Bundeszentralamt für Steuern abfragen.</w:t>
      </w:r>
    </w:p>
    <w:p>
      <w:r>
        <w:rPr>
          <w:color w:val="555555"/>
          <w:sz w:val="17"/>
        </w:rPr>
        <w:t xml:space="preserve">Zitiervorschlag: § 7a BKGG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https://recht.nulegal.eu/gesetze/BKGG%201996/7a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