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BKGG 1996 — Zuständigkeit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Bundesagentur für Arbeit (Bundesagentur) führt dieses Gesetz nach fachlichen Weisungen des Bundesministeriums für Familie, Senioren, Frauen und Jugend durch.</w:t>
      </w:r>
    </w:p>
    <w:p>
      <w:r>
        <w:t xml:space="preserve">(2) Die Bundesagentur führt bei der Durchführung dieses Gesetzes die Bezeichnung "Familienkasse".</w:t>
      </w:r>
    </w:p>
    <w:p>
      <w:r>
        <w:t xml:space="preserve">(3) Abweichend von Absatz 1 führen die Länder § 6b als eigene Angelegenheit aus.</w:t>
      </w:r>
    </w:p>
    <w:p>
      <w:r>
        <w:rPr>
          <w:color w:val="555555"/>
          <w:sz w:val="17"/>
        </w:rPr>
        <w:t xml:space="preserve">Zitiervorschlag: § 7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https://recht.nulegal.eu/gesetze/BKGG%201996/7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