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6c BKGG 1996 — Unterhaltspflichten</w:t>
      </w:r>
    </w:p>
    <w:p>
      <w:r>
        <w:rPr>
          <w:color w:val="555555"/>
          <w:sz w:val="18"/>
        </w:rPr>
        <w:t xml:space="preserve">Bundeskindergeldgesetz</w:t>
      </w:r>
    </w:p>
    <w:p>
      <w:r>
        <w:rPr>
          <w:color w:val="555555"/>
          <w:sz w:val="18"/>
        </w:rPr>
        <w:t xml:space="preserve">Stand: 01.07.2021 (konsolidierte Textfassung, kein amtliches Inkrafttretensdatum)</w:t>
      </w:r>
    </w:p>
    <w:p>
      <w:r>
        <w:t xml:space="preserve">Unterhaltspflichten werden durch den Kinderzuschlag nicht berührt.</w:t>
      </w:r>
    </w:p>
    <w:p>
      <w:r>
        <w:rPr>
          <w:color w:val="555555"/>
          <w:sz w:val="17"/>
        </w:rPr>
        <w:t xml:space="preserve">Zitiervorschlag: § 6c BKGG 1996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https://recht.nulegal.eu/gesetze/BKGG%201996/6c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