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BKGG 1996 — Gewährung des Kindergeldes und des Kinderzuschlags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Kindergeld und der Kinderzuschlag werden monatlich gewährt.</w:t>
      </w:r>
    </w:p>
    <w:p>
      <w:r>
        <w:t xml:space="preserve">(2) Auszuzahlende Beträge sind auf Euro abzurunden, und zwar unter 50 Cent nach unten, sonst nach oben.</w:t>
      </w:r>
    </w:p>
    <w:p>
      <w:r>
        <w:t xml:space="preserve">(3) Abweichend von § 47 Absatz 1 des Ersten Buches Sozialgesetzbuch werden das sozialrechtliche Kindergeld und der Kinderzuschlag ausschließlich auf das angegebene Konto bei einem Geldinstitut, für das die Verordnung (EU) Nr. 260/2012 gilt, überwiesen. Die Überweisung erfolgt kostenfrei.</w:t>
      </w:r>
    </w:p>
    <w:p>
      <w:r>
        <w:t xml:space="preserve">(4) § 45 Absatz 3 des Zehnten Buches Sozialgesetzbuch findet keine Anwendung.</w:t>
      </w:r>
    </w:p>
    <w:p>
      <w:r>
        <w:t xml:space="preserve">(5) Ein rechtswidriger nicht begünstigender Verwaltungsakt ist abweichend von § 44 Absatz 1 des Zehnten Buches Sozialgesetzbuch für die Zukunft zurückzunehmen; er kann ganz oder teilweise auch für die Vergangenheit zurückgenommen werden.</w:t>
      </w:r>
    </w:p>
    <w:p>
      <w:r>
        <w:t xml:space="preserve">(6) Wird ein Verwaltungsakt über die Bewilligung von Kinderzuschlag aufgehoben, sind bereits erbrachte Leistungen abweichend von § 50 Absatz 1 des Zehnten Buches Sozialgesetzbuch nicht zu erstatten, soweit der Bezug von Kinderzuschlag den Anspruch auf Leistungen nach dem Zweiten Buch Sozialgesetzbuch ausschließt oder mindert.</w:t>
      </w:r>
    </w:p>
    <w:p>
      <w:r>
        <w:t xml:space="preserve">(7) Entsprechend anwendbar sind die Vorschriften des Dritten Buches Sozialgesetzbuch über</w:t>
      </w:r>
    </w:p>
    <w:p>
      <w:pPr>
        <w:ind w:left="420"/>
      </w:pPr>
      <w:r>
        <w:t xml:space="preserve">1. die Aufhebung von Verwaltungsakten (§ 330 Absatz 2, 3 Satz 1) sowie</w:t>
      </w:r>
    </w:p>
    <w:p>
      <w:pPr>
        <w:ind w:left="420"/>
      </w:pPr>
      <w:r>
        <w:t xml:space="preserve">2. die vorläufige Zahlungseinstellung nach § 331 mit der Maßgabe, dass die Familienkasse auch zur teilweisen Zahlungseinstellung berechtigt ist, wenn sie von Tatsachen Kenntnis erhält, die zu einem geringeren Leistungsanspruch führen.</w:t>
      </w:r>
    </w:p>
    <w:p>
      <w:r>
        <w:rPr>
          <w:color w:val="555555"/>
          <w:sz w:val="17"/>
        </w:rPr>
        <w:t xml:space="preserve">Zitiervorschlag: § 11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https://recht.nulegal.eu/gesetze/BKGG%201996/11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