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BKEntschV-GV (Bayern)</w:t>
      </w:r>
    </w:p>
    <w:p>
      <w:r>
        <w:rPr>
          <w:color w:val="555555"/>
          <w:sz w:val="18"/>
        </w:rPr>
        <w:t xml:space="preserve">Verordnung über die Aufwandsentschädigung für Bürokosten der Gerichtsvollzieher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§ 49 Abs. 3 des Bundesbesoldungsgesetzes in der Fassung der Bekanntmachung vom 6. August 2002 (BGBl I S. 3020), zuletzt geändert durch Art. 3 des Gesetzes vom 19. Juli 2007 (BGBl I S. 1457), in Verbindung mit § 3 Nr. 1 der Verordnung über die Zuständigkeit zum Erlass von Rechtsverordnungen (Delegationsverordnung – DelV) vom 15. Juni 2004 (GVBl S. 239, BayRS 103-2-S), zuletzt geändert durch § 1 der Verordnung vom 4. September 2007 (GVBl S. 635), erlässt das Bayerische Staatsministerium der Justiz im Einvernehmen mit dem Bayerischen Staatsministerium der Finanzen folgende Verordnung:</w:t>
      </w:r>
    </w:p>
    <w:p>
      <w:r>
        <w:rPr>
          <w:color w:val="555555"/>
          <w:sz w:val="17"/>
        </w:rPr>
        <w:t xml:space="preserve">Zitiervorschlag: Eingangsformel BKEntschV-GV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https://recht.nulegal.eu/gesetze/BKEntschV-GV/eingangsformel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