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BKEntschV-GV (Bayern)</w:t>
      </w:r>
    </w:p>
    <w:p>
      <w:r>
        <w:rPr>
          <w:color w:val="555555"/>
          <w:sz w:val="18"/>
        </w:rPr>
        <w:t xml:space="preserve">Verordnung über die Aufwandsentschädigung für Bürokosten der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2008 in Kraft.</w:t>
      </w:r>
    </w:p>
    <w:p>
      <w:r>
        <w:t xml:space="preserve">(2) Mit Ablauf des 31. Dezember 2007 tritt die Verordnung zur Abgeltung der Bürokosten der Gerichtsvollzieher (Gerichtsvollzieherentschädigungsverordnung – GVEntschV) vom 15. Oktober 1998 (GVBl S. 893, BayRS 2032-2-41-J), zuletzt geändert durch Verordnung vom 12. September 2006 (GVBl S. 752), außer Kraft. Für die Abrechnung der Bürokostenentschädigung für die Jahre 2006 und 2007 bleibt diese Verordnung jedoch weiter anwendbar.</w:t>
      </w:r>
    </w:p>
    <w:p>
      <w:r>
        <w:rPr>
          <w:color w:val="555555"/>
          <w:sz w:val="17"/>
        </w:rPr>
        <w:t xml:space="preserve">Zitiervorschlag: § 9 BKEntschV-GV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https://recht.nulegal.eu/gesetze/BKEntschV-GV/9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BKEntschV-GV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