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BKEntschV-GV (Bayern)</w:t>
      </w:r>
    </w:p>
    <w:p>
      <w:r>
        <w:rPr>
          <w:color w:val="555555"/>
          <w:sz w:val="18"/>
        </w:rPr>
        <w:t xml:space="preserve">Verordnung über die Aufwandsentschädigung für Bürokosten der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Anträge nach § 5 Abs. 1 und § 6 Satz 1 entscheiden die Präsidenten der Oberlandesgerichte.</w:t>
      </w:r>
    </w:p>
    <w:p>
      <w:r>
        <w:rPr>
          <w:color w:val="555555"/>
          <w:sz w:val="17"/>
        </w:rPr>
        <w:t xml:space="preserve">Zitiervorschlag: § 7 BKEntschV-GV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https://recht.nulegal.eu/gesetze/BKEntschV-GV/7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BKEntschV-GV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