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BKAmtZustAnO</w:t>
      </w:r>
    </w:p>
    <w:p>
      <w:r>
        <w:rPr>
          <w:color w:val="555555"/>
          <w:sz w:val="18"/>
        </w:rPr>
        <w:t xml:space="preserve">BKAmt-Zuständigkeitsanordnung</w:t>
      </w:r>
    </w:p>
    <w:p>
      <w:r>
        <w:rPr>
          <w:color w:val="555555"/>
          <w:sz w:val="18"/>
        </w:rPr>
        <w:t xml:space="preserve">Stand: 16.04.2024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Artikel 1 Absatz 1 Satz 2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§ 126 Absatz 3 Satz 2 und § 127 Absatz 3 Satz 1 des Bundesbeamtengesetzes vom 5. Februar 2009 (BGBl. I S. 160),</w:t>
      </w:r>
    </w:p>
    <w:p>
      <w:pPr>
        <w:ind w:left="420"/>
      </w:pPr>
      <w:r>
        <w:t xml:space="preserve">– § 34 Absatz 5, § 42 Absatz 1 Satz 2 und § 84 Satz 2 des Bundesdisziplinargesetzes vom 9. Juli 2001 (BGBl. I S. 1510),</w:t>
      </w:r>
    </w:p>
    <w:p>
      <w:r>
        <w:t xml:space="preserve">ordnet der Chef des Bundeskanzleramtes an:</w:t>
      </w:r>
    </w:p>
    <w:p>
      <w:r>
        <w:rPr>
          <w:color w:val="555555"/>
          <w:sz w:val="17"/>
        </w:rPr>
        <w:t xml:space="preserve">Zitiervorschlag: Eingangsformel BKAmtZustAnO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https://recht.nulegal.eu/gesetze/BKAmtZustAnO/eingangsformel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