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BKAmtZustAnO — Vorbehaltsklausel</w:t>
      </w:r>
    </w:p>
    <w:p>
      <w:r>
        <w:rPr>
          <w:color w:val="555555"/>
          <w:sz w:val="18"/>
        </w:rPr>
        <w:t xml:space="preserve">BKAmt-Zuständigkeitsanordnung</w:t>
      </w:r>
    </w:p>
    <w:p>
      <w:r>
        <w:rPr>
          <w:color w:val="555555"/>
          <w:sz w:val="18"/>
        </w:rPr>
        <w:t xml:space="preserve">Stand: 16.04.2024 (konsolidierte Textfassung, kein amtliches Inkrafttretensdatum)</w:t>
      </w:r>
    </w:p>
    <w:p>
      <w:r>
        <w:t xml:space="preserve">Die Chefin oder der Chef des Bundeskanzleramtes behält sich vor, die Zuständigkeiten und Befugnisse nach den §§ 1 bis 4 im Einzelfall selbst wahrzunehmen.</w:t>
      </w:r>
    </w:p>
    <w:p>
      <w:r>
        <w:rPr>
          <w:color w:val="555555"/>
          <w:sz w:val="17"/>
        </w:rPr>
        <w:t xml:space="preserve">Zitiervorschlag: § 5 BKAmtZustAnO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https://recht.nulegal.eu/gesetze/BKAmtZustAnO/5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