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BKAmtZustAnO — Ernennung und Entlassung</w:t>
      </w:r>
    </w:p>
    <w:p>
      <w:r>
        <w:rPr>
          <w:color w:val="555555"/>
          <w:sz w:val="18"/>
        </w:rPr>
        <w:t xml:space="preserve">BKAmt-Zuständigkeitsanordnung</w:t>
      </w:r>
    </w:p>
    <w:p>
      <w:r>
        <w:rPr>
          <w:color w:val="555555"/>
          <w:sz w:val="18"/>
        </w:rPr>
        <w:t xml:space="preserve">Stand: 16.04.2024 (konsolidierte Textfassung, kein amtliches Inkrafttretensdatum)</w:t>
      </w:r>
    </w:p>
    <w:p>
      <w:r>
        <w:t xml:space="preserve">Die Befugnis zur Ernennung und Entlassung der Beamtinnen und Beamten bis zur Besoldungsgruppe A 14 für den Geschäftsbereich des Bundesnachrichtendiensts wird der Präsidentin oder dem Präsidenten des Bundesnachrichtendienstes widerruflich übertragen.</w:t>
      </w:r>
    </w:p>
    <w:p>
      <w:r>
        <w:rPr>
          <w:color w:val="555555"/>
          <w:sz w:val="17"/>
        </w:rPr>
        <w:t xml:space="preserve">Zitiervorschlag: § 1 BKAmtZustAnO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https://recht.nulegal.eu/gesetze/BKAmtZustAnO/1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BKAmtZustAnO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