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BKAZVO (Nordrhein-Westfalen)</w:t>
      </w:r>
    </w:p>
    <w:p>
      <w:r>
        <w:rPr>
          <w:color w:val="555555"/>
          <w:sz w:val="18"/>
        </w:rPr>
        <w:t xml:space="preserve">Berufskolleganrechnungs- und -zulassungsverordnung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Mai 2006</w:t>
      </w:r>
    </w:p>
    <w:p>
      <w:r>
        <w:t xml:space="preserve">Aufgrund des § 7 Abs. 1 und des § 43 Abs. 2 des Berufsbildungsgesetzes vom 23. März 2005 (BGBl. I S. 931) sowie des § 27a Abs. 1 und des § 36 Abs. 2 der Handwerksordnung in der Fassung der Bekanntmachung vom 24. September 1998 (BGBl. I S. 3074), zuletzt geändert durch Artikel 2 des Berufsbildungsreformgesetzes vom 23. März 2005 (BGBl. I S. 931), wird nach Anhörung und im Benehmen mit dem Landesausschuss für Berufsbildung verordnet:</w:t>
      </w:r>
    </w:p>
    <w:p>
      <w:r>
        <w:rPr>
          <w:color w:val="555555"/>
          <w:sz w:val="17"/>
        </w:rPr>
        <w:t xml:space="preserve">Zitiervorschlag: Volltext BKAZVO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https://recht.nulegal.eu/gesetze/BKAZVO/volltext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