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BKATerrAbwG — Evaluation</w:t>
      </w:r>
    </w:p>
    <w:p>
      <w:r>
        <w:rPr>
          <w:color w:val="555555"/>
          <w:sz w:val="18"/>
        </w:rPr>
        <w:t xml:space="preserve">Gesetz zur Abwehr von Gefahren des internationalen Terrorismus durch das Bundeskriminalamt</w:t>
      </w:r>
    </w:p>
    <w:p>
      <w:r>
        <w:rPr>
          <w:color w:val="555555"/>
          <w:sz w:val="18"/>
        </w:rPr>
        <w:t xml:space="preserve">Historische Fassung: Stand 10.06.2019 bis 06.03.2024. Dies ist nicht die aktuelle Fassung.</w:t>
      </w:r>
    </w:p>
    <w:p>
      <w:r>
        <w:t xml:space="preserve">Artikel 1 Nr. 2, Nr. 5 §§ 20j und 20k ist fünf Jahre nach dem Inkrafttreten unter Einbeziehung eines wissenschaftlichen Sachverständigen, der im Einvernehmen mit dem Deutschen Bundestag bestellt wird, zu evaluieren.</w:t>
      </w:r>
    </w:p>
    <w:p>
      <w:r>
        <w:rPr>
          <w:color w:val="555555"/>
          <w:sz w:val="17"/>
        </w:rPr>
        <w:t xml:space="preserve">Zitiervorschlag: Art 6 BKATerrAbwG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https://recht.nulegal.eu/gesetze/BKATerrAbwG/6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