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BKATerrAbwG — Einschränkung von Grundrechten</w:t>
      </w:r>
    </w:p>
    <w:p>
      <w:r>
        <w:rPr>
          <w:color w:val="555555"/>
          <w:sz w:val="18"/>
        </w:rPr>
        <w:t xml:space="preserve">Gesetz zur Abwehr von Gefahren des internationalen Terrorismus durch das Bundeskriminalamt</w:t>
      </w:r>
    </w:p>
    <w:p>
      <w:r>
        <w:rPr>
          <w:color w:val="555555"/>
          <w:sz w:val="18"/>
        </w:rPr>
        <w:t xml:space="preserve">Historische Fassung: Stand 10.06.2019 bis 06.03.2024. Dies ist nicht die aktuelle Fassung.</w:t>
      </w:r>
    </w:p>
    <w:p>
      <w:r>
        <w:t xml:space="preserve">Die Grundrechte der Freiheit der Person (Artikel 2 Abs. 2 Satz 2 des Grundgesetzes), des Brief-, Post- und Fernmeldegeheimnisses (Artikel 10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Art 5 BKATerrAbwG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https://recht.nulegal.eu/gesetze/BKATerrAbwG/5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