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BKAG 2018 — Löschung von durch Maßnahmen zur Abwehr von Gefahren des internationalen Terrorismus oder vergleichbaren Maßnahmen erlangten personenbezogenen Daten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Sind die durch eine in Abschnitt 5 genannte Maßnahme oder durch Maßnahmen nach § 34 oder § 64 erlangten personenbezogenen Daten, die nicht dem Kernbereich privater Lebensgestaltung zuzuordnen sind, zur Erfüllung des der Maßnahme zugrunde liegenden Zwecks und für eine etwaige gerichtliche Überprüfung der Maßnahme nicht mehr erforderlich, sind sie unverzüglich zu löschen, soweit keine Weiterverarbeitung der Daten nach den Vorschriften des Abschnitts 2 Unterabschnitt 2 erfolgt. Die Tatsache der Löschung ist zu dokumentieren. Die Dokumentation darf ausschließlich für Zwecke der Datenschutzkontrolle verwendet werden.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(2) Absatz 1 gilt entsprechend für personenbezogene Daten, die</w:t>
      </w:r>
    </w:p>
    <w:p>
      <w:pPr>
        <w:ind w:left="420"/>
      </w:pPr>
      <w:r>
        <w:t xml:space="preserve">1. dem Bundeskriminalamt übermittelt worden sind und</w:t>
      </w:r>
    </w:p>
    <w:p>
      <w:pPr>
        <w:ind w:left="420"/>
      </w:pPr>
      <w:r>
        <w:t xml:space="preserve">2. durch Maßnahmen erlangt wurden, die den Maßnahmen nach § 34, Abschnitt 5 oder § 64 entsprechen.</w:t>
      </w:r>
    </w:p>
    <w:p>
      <w:r>
        <w:rPr>
          <w:color w:val="555555"/>
          <w:sz w:val="17"/>
        </w:rPr>
        <w:t xml:space="preserve">Zitiervorschlag: § 79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