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BKAG 2018 — Befugnisse</w:t>
      </w:r>
    </w:p>
    <w:p>
      <w:r>
        <w:rPr>
          <w:color w:val="555555"/>
          <w:sz w:val="18"/>
        </w:rPr>
        <w:t xml:space="preserve">Bundeskriminalamtgesetz</w:t>
      </w:r>
    </w:p>
    <w:p>
      <w:r>
        <w:rPr>
          <w:color w:val="555555"/>
          <w:sz w:val="18"/>
        </w:rPr>
        <w:t xml:space="preserve">Stand: 10.06.2019 (konsolidierte Textfassung, kein amtliches Inkrafttretensdatum)</w:t>
      </w:r>
    </w:p>
    <w:p>
      <w:r>
        <w:t xml:space="preserve">(1) Zur Erfüllung seiner Aufgabe nach § 7 kann das Bundeskriminalamt, soweit nicht dieses Gesetz oder das Zeugenschutz-Harmonisierungsgesetz die Befugnisse besonders regelt, die erforderlichen Maßnahmen treffen, um eine im Einzelfall bestehende Gefahr für Leib, Leben, Gesundheit, Freiheit der Willensentschließung und -betätigung oder wesentliche Vermögenswerte der in § 7 genannten Personen abzuwehren. Die Maßnahmen können auch nach rechtskräftigem Abschluss des Strafverfahrens, in dem die Aussage erfolgt ist, fortgeführt werden; für den Fall, dass noch die Strafvollstreckung betrieben wird, sind die Maßnahmen im Einvernehmen mit der Strafvollstreckungsbehörde und im Falle fortdauernder Inhaftierung auch im Einvernehmen mit der Justizvollzugsbehörde durchzuführen. § 63 Absatz 2 und 4 bis 8 und § 64 sowie die §§ 15 bis 20 des Bundespolizeigesetzes gelten entsprechend.</w:t>
      </w:r>
    </w:p>
    <w:p>
      <w:r>
        <w:t xml:space="preserve">(2) Von Maßnahmen des Bundeskriminalamtes, die nach Absatz 1 getroffen werden, sind die zuständigen Landeskriminalämter und die für die Strafverfolgung zuständige Staatsanwaltschaft unverzüglich zu unterrichten. Nach Erhebung der öffentlichen Klage ist das Gericht unverzüglich zu unterrichten, ob das Bundeskriminalamt Maßnahmen nach Absatz 1 durchführt. Sollen die Maßnahmen eingestellt werden, ist die Staatsanwaltschaft zu unterrichten.</w:t>
      </w:r>
    </w:p>
    <w:p>
      <w:r>
        <w:rPr>
          <w:color w:val="555555"/>
          <w:sz w:val="17"/>
        </w:rPr>
        <w:t xml:space="preserve">Zitiervorschlag: § 66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