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BKAG 2018 — Ausschreibung zur polizeilichen Beobachtung, Ermittlungsanfrage oder gezielten Kontrolle</w:t>
      </w:r>
    </w:p>
    <w:p>
      <w:r>
        <w:rPr>
          <w:color w:val="555555"/>
          <w:sz w:val="18"/>
        </w:rPr>
        <w:t xml:space="preserve">Bundeskriminalamtgesetz</w:t>
      </w:r>
    </w:p>
    <w:p>
      <w:r>
        <w:rPr>
          <w:color w:val="555555"/>
          <w:sz w:val="18"/>
        </w:rPr>
        <w:t xml:space="preserve">Stand: 29.12.2022 (konsolidierte Textfassung, kein amtliches Inkrafttretensdatum)</w:t>
      </w:r>
    </w:p>
    <w:p>
      <w:r>
        <w:t xml:space="preserve">(1) Das Bundeskriminalamt kann eine Ausschreibung zur polizeilichen Beobachtung, Ermittlungsanfrage oder gezielten Kontrolle vornehmen, wenn</w:t>
      </w:r>
    </w:p>
    <w:p>
      <w:pPr>
        <w:ind w:left="420"/>
      </w:pPr>
      <w:r>
        <w:t xml:space="preserve">1. die Gesamtwürdigung der Person und ihre bisher begangenen Straftaten erwarten lassen, dass sie künftig Straftaten, durch die die zu schützenden Personen unmittelbar gefährdet sind, begehen wird,</w:t>
      </w:r>
    </w:p>
    <w:p>
      <w:pPr>
        <w:ind w:left="420"/>
      </w:pPr>
      <w:r>
        <w:t xml:space="preserve">2. Tatsachen die Annahme rechtfertigen, dass die Person Straftaten, durch die die zu schützenden Personen unmittelbar gefährdet sind, begehen wird oder</w:t>
      </w:r>
    </w:p>
    <w:p>
      <w:pPr>
        <w:ind w:left="420"/>
      </w:pPr>
      <w:r>
        <w:t xml:space="preserve">3. die Person mit einer Person nach den Nummern 1 und 2 nicht nur flüchtig oder in zufälligem Kontakt in Verbindung steht und tatsächliche Anhaltspunkte die Annahme rechtfertigen, dass sie von der Vorbereitung einer Straftat, durch die die zu schützenden Personen unmittelbar gefährdet sind, Kenntnis hat</w:t>
      </w:r>
    </w:p>
    <w:p>
      <w:r>
        <w:t xml:space="preserve">und dies zur Verhütung der Straftaten erforderlich ist.</w:t>
      </w:r>
    </w:p>
    <w:p>
      <w:r>
        <w:t xml:space="preserve">(2) § 47 Absatz 3 bis 5 gilt entsprechend.</w:t>
      </w:r>
    </w:p>
    <w:p>
      <w:r>
        <w:rPr>
          <w:color w:val="555555"/>
          <w:sz w:val="17"/>
        </w:rPr>
        <w:t xml:space="preserve">Zitiervorschlag: § 65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