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64 BKAG 2018 — Besondere Mittel der Datenerhebung</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Das Bundeskriminalamt kann personenbezogene Daten mit den besonderen Mitteln nach Absatz 2 erheben über</w:t>
      </w:r>
    </w:p>
    <w:p>
      <w:pPr>
        <w:ind w:left="420"/>
      </w:pPr>
      <w:r>
        <w:t xml:space="preserve">1. Personen, bei denen Tatsachen die Annahme rechtfertigen, dass von ihnen eine Straftat gegen Leib, Leben oder Freiheit einer zu schützenden Person oder eine gemeingefährliche Straftat gegen eine der in § 6 genannten Räumlichkeiten verübt werden soll, oder</w:t>
      </w:r>
    </w:p>
    <w:p>
      <w:pPr>
        <w:ind w:left="420"/>
      </w:pPr>
      <w:r>
        <w:t xml:space="preserve">2. Personen nach § 39 Absatz 2 Nummer 2</w:t>
      </w:r>
    </w:p>
    <w:p>
      <w:r>
        <w:t xml:space="preserve">und die Abwehr der Gefahr oder die Verhütung der Straftat auf andere Weise aussichtslos ist oder wesentlich erschwert würde. Die Erhebung kann auch durchgeführt werden, wenn Dritte unvermeidbar betroffen werden.</w:t>
      </w:r>
    </w:p>
    <w:p>
      <w:r>
        <w:t xml:space="preserve">(2) Besondere Mittel der Datenerhebung sind:</w:t>
      </w:r>
    </w:p>
    <w:p>
      <w:pPr>
        <w:ind w:left="420"/>
      </w:pPr>
      <w:r>
        <w:t xml:space="preserve">1. die längerfristige Observation,</w:t>
      </w:r>
    </w:p>
    <w:p>
      <w:pPr>
        <w:ind w:left="420"/>
      </w:pPr>
      <w:r>
        <w:t xml:space="preserve">2. der Einsatz technischer Mittel außerhalb der Wohnung in einer für die betroffene Person nicht erkennbaren Weise</w:t>
      </w:r>
    </w:p>
    <w:p>
      <w:pPr>
        <w:ind w:left="780"/>
      </w:pPr>
      <w:r>
        <w:t xml:space="preserve">a) zur Anfertigung von Bildaufnahmen oder -aufzeichnungen,</w:t>
      </w:r>
    </w:p>
    <w:p>
      <w:pPr>
        <w:ind w:left="780"/>
      </w:pPr>
      <w:r>
        <w:t xml:space="preserve">b) zum Abhören oder Aufzeichnen des nicht öffentlich gesprochenen Wortes und</w:t>
      </w:r>
    </w:p>
    <w:p>
      <w:pPr>
        <w:ind w:left="420"/>
      </w:pPr>
      <w:r>
        <w:t xml:space="preserve">3. der Einsatz von Vertrauenspersonen.</w:t>
      </w:r>
    </w:p>
    <w:p>
      <w:r>
        <w:t xml:space="preserve">(3) Maßnahmen nach</w:t>
      </w:r>
    </w:p>
    <w:p>
      <w:pPr>
        <w:ind w:left="420"/>
      </w:pPr>
      <w:r>
        <w:t xml:space="preserve">1. Absatz 2 Nummer 1,</w:t>
      </w:r>
    </w:p>
    <w:p>
      <w:pPr>
        <w:ind w:left="420"/>
      </w:pPr>
      <w:r>
        <w:t xml:space="preserve">2. Absatz 2 Nummer 2 Buchstabe a, bei denen durchgehend länger als 24 Stunden oder an mehr als zwei Tagen Bildaufzeichnungen bestimmter Personen angefertigt werden sollen,</w:t>
      </w:r>
    </w:p>
    <w:p>
      <w:pPr>
        <w:ind w:left="420"/>
      </w:pPr>
      <w:r>
        <w:t xml:space="preserve">3. Absatz 2 Nummer 2 Buchstabe b,</w:t>
      </w:r>
    </w:p>
    <w:p>
      <w:pPr>
        <w:ind w:left="420"/>
      </w:pPr>
      <w:r>
        <w:t xml:space="preserve">4. Absatz 2 Nummer 3, die sich gegen eine bestimmte Person richten oder bei denen die Vertrauensperson eine Wohnung betritt, die nicht allgemein zugänglich ist,</w:t>
      </w:r>
    </w:p>
    <w:p>
      <w:r>
        <w:t xml:space="preserve">dürfen nur auf Antrag der Leitung der für den Personenschutz zuständigen Abteilung des Bundeskriminalamtes oder deren Vertretung durch das Gericht angeordnet werden. Bei Gefahr im Verzug kann die Anordnung einer Maßnahme nach Satz 1 durch die Leitung der für den Personenschutz zuständigen Abteilung des Bundeskriminalamtes oder deren Vertretung getroffen werden. In diesem Fall ist die gerichtliche Entscheidung unverzüglich nachzuholen. Soweit die Anordnung nicht binnen drei Tagen durch das Gericht bestätigt wird, tritt sie außer Kraft. Die übrigen Maßnahmen nach Absatz 2 Nummer 1 bis 3 dürfen, außer bei Gefahr im Verzug, nur durch die Leitung der für den Personenschutz zuständigen Abteilung des Bundeskriminalamtes oder deren Vertretung angeordnet werden.</w:t>
      </w:r>
    </w:p>
    <w:p>
      <w:r>
        <w:t xml:space="preserve">(4) § 45 Absatz 4, 5, 7 und 8 gilt entsprechend.</w:t>
      </w:r>
    </w:p>
    <w:p>
      <w:r>
        <w:t xml:space="preserve">(5) Personenbezogene Daten, die durch Maßnahmen nach Absatz 2 erlangt worden sind, sind unverzüglich zu löschen, soweit sie für den der Anordnung zugrunde liegenden Zweck oder nach Maßgabe der Strafprozessordnung zur Verfolgung einer Straftat nicht oder nicht mehr erforderlich sind.</w:t>
      </w:r>
    </w:p>
    <w:p>
      <w:r>
        <w:rPr>
          <w:color w:val="555555"/>
          <w:sz w:val="17"/>
        </w:rPr>
        <w:t xml:space="preserve">Zitiervorschlag: § 64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64 BKAG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