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BKAG 2018 — Schutz von Mitgliedern der Verfassungsorgane und der Leitung des Bundeskriminalamtes</w:t>
      </w:r>
    </w:p>
    <w:p>
      <w:r>
        <w:rPr>
          <w:color w:val="555555"/>
          <w:sz w:val="18"/>
        </w:rPr>
        <w:t xml:space="preserve">Bundeskriminalamtgesetz</w:t>
      </w:r>
    </w:p>
    <w:p>
      <w:r>
        <w:rPr>
          <w:color w:val="555555"/>
          <w:sz w:val="18"/>
        </w:rPr>
        <w:t xml:space="preserve">Stand: 05.07.2020 (konsolidierte Textfassung, kein amtliches Inkrafttretensdatum)</w:t>
      </w:r>
    </w:p>
    <w:p>
      <w:r>
        <w:t xml:space="preserve">(1) Unbeschadet der Rechte des Präsidenten des Deutschen Bundestages und der Zuständigkeit der Bundespolizei und der Polizeien der Länder obliegt dem Bundeskriminalamt</w:t>
      </w:r>
    </w:p>
    <w:p>
      <w:pPr>
        <w:ind w:left="420"/>
      </w:pPr>
      <w:r>
        <w:t xml:space="preserve">1. der erforderliche Personenschutz</w:t>
      </w:r>
    </w:p>
    <w:p>
      <w:pPr>
        <w:ind w:left="780"/>
      </w:pPr>
      <w:r>
        <w:t xml:space="preserve">a) für die Mitglieder der Verfassungsorgane des Bundes,</w:t>
      </w:r>
    </w:p>
    <w:p>
      <w:pPr>
        <w:ind w:left="780"/>
      </w:pPr>
      <w:r>
        <w:t xml:space="preserve">b) in besonders festzulegenden Fällen der Gäste dieser Verfassungsorgane aus anderen Staaten,</w:t>
      </w:r>
    </w:p>
    <w:p>
      <w:pPr>
        <w:ind w:left="780"/>
      </w:pPr>
      <w:r>
        <w:t xml:space="preserve">c) auf Ersuchen des Präsidenten des Deutschen Bundestages für Hilfsorgane des Deutschen Bundestages und</w:t>
      </w:r>
    </w:p>
    <w:p>
      <w:pPr>
        <w:ind w:left="780"/>
      </w:pPr>
      <w:r>
        <w:t xml:space="preserve">d) für die Leitung des Bundeskriminalamtes;</w:t>
      </w:r>
    </w:p>
    <w:p>
      <w:pPr>
        <w:ind w:left="420"/>
      </w:pPr>
      <w:r>
        <w:t xml:space="preserve">2. der innere Schutz der Dienst- und der Wohnsitze sowie der jeweiligen Aufenthaltsräume des Bundespräsidenten, der Mitglieder der Bundesregierung und in besonders festzulegenden Fällen ihrer Gäste aus anderen Staaten.</w:t>
      </w:r>
    </w:p>
    <w:p>
      <w:r>
        <w:t xml:space="preserve">In den Fällen des Satzes 1 Nummer 1 Buchstabe a, c und d kann der erforderliche Schutz insbesondere auch über die Amtsdauer hinaus erstreckt werden und Familienangehörige einbeziehen.</w:t>
      </w:r>
    </w:p>
    <w:p>
      <w:r>
        <w:t xml:space="preserve">(2) Sollen Beamtinnen und Beamte des Bundeskriminalamtes und der Polizei eines Landes in den Fällen des Absatzes 1 zugleich eingesetzt werden, so entscheidet darüber das Bundesministerium des Innern, für Bau und Heimat im Einvernehmen mit der obersten Landesbehörde.</w:t>
      </w:r>
    </w:p>
    <w:p>
      <w:r>
        <w:rPr>
          <w:color w:val="555555"/>
          <w:sz w:val="17"/>
        </w:rPr>
        <w:t xml:space="preserve">Zitiervorschlag: § 6 BKAG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https://recht.nulegal.eu/gesetze/BKAG%202018/6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