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BKAG 2018 — Gewahrsam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 eine Person in Gewahrsam nehmen, wenn dies unerlässlich ist,</w:t>
      </w:r>
    </w:p>
    <w:p>
      <w:pPr>
        <w:ind w:left="420"/>
      </w:pPr>
      <w:r>
        <w:t xml:space="preserve">1. um eine Platzverweisung nach § 54 durchzusetzen oder</w:t>
      </w:r>
    </w:p>
    <w:p>
      <w:pPr>
        <w:ind w:left="420"/>
      </w:pPr>
      <w:r>
        <w:t xml:space="preserve">2. um die unmittelbar bevorstehende Begehung oder Fortsetzung von Straftaten nach § 5 Absatz 1 Satz 2 zu verhindern.</w:t>
      </w:r>
    </w:p>
    <w:p>
      <w:r>
        <w:t xml:space="preserve">(2) § 40 Absatz 1 und 2 sowie die §§ 41 und 42 Absatz 1 Satz 1, 3 und Absatz 2 des Bundespolizeigesetzes gelten entsprechend mit der Maßgabe, dass an die Stelle der dort genannten Freiheitsentziehungen die Maßnahme nach Absatz 1 tritt.</w:t>
      </w:r>
    </w:p>
    <w:p>
      <w:r>
        <w:rPr>
          <w:color w:val="555555"/>
          <w:sz w:val="17"/>
        </w:rPr>
        <w:t xml:space="preserve">Zitiervorschlag: § 57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