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 BKAG 2018 — Elektronische Aufenthaltsüberwachung</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kann eine Person dazu verpflichten, ein technisches Mittel, mit dem der Aufenthaltsort dieser Person elektronisch überwacht werden kann, ständig in betriebsbereitem Zustand am Körper bei sich zu führen und dessen Funktionsfähigkeit nicht zu beeinträchtigen, wenn</w:t>
      </w:r>
    </w:p>
    <w:p>
      <w:pPr>
        <w:ind w:left="420"/>
      </w:pPr>
      <w:r>
        <w:t xml:space="preserve">1. bestimmte Tatsachen die Annahme rechtfertigen, dass diese Person innerhalb eines übersehbaren Zeitraums auf eine zumindest ihrer Art nach konkretisierte Weise eine Straftat nach § 5 Absatz 1 Satz 2 begehen wird oder</w:t>
      </w:r>
    </w:p>
    <w:p>
      <w:pPr>
        <w:ind w:left="420"/>
      </w:pPr>
      <w:r>
        <w:t xml:space="preserve">2. deren individuelles Verhalten eine konkrete Wahrscheinlichkeit dafür begründet, dass sie innerhalb eines übersehbaren Zeitraums eine Straftat nach § 5 Absatz 1 Satz 2 begehen wird,</w:t>
      </w:r>
    </w:p>
    <w:p>
      <w:r>
        <w:t xml:space="preserve">um diese Person durch die Überwachung und die Datenverwendung von der Begehung dieser Straftat abzuhalten.</w:t>
      </w:r>
    </w:p>
    <w:p>
      <w:r>
        <w:t xml:space="preserve">(2) Das Bundeskriminalamt verarbeitet mit Hilfe der von der betroffenen Person mitgeführten technischen Mittel automatisiert Daten über deren Aufenthaltsort sowie über etwaige Beeinträchtigungen der Datenerhebung. Soweit es technisch möglich ist, ist sicherzustellen, dass innerhalb der Wohnung der betroffenen Person keine über den Umstand ihrer Anwesenheit hinausgehenden Aufenthaltsdaten erhoben werden. Die Daten dürfen ohne Einwilligung der betroffenen Person nur verwendet werden, soweit dies erforderlich ist für die folgenden Zwecke:</w:t>
      </w:r>
    </w:p>
    <w:p>
      <w:pPr>
        <w:ind w:left="420"/>
      </w:pPr>
      <w:r>
        <w:t xml:space="preserve">1. zur Verhütung oder zur Verfolgung von Straftaten nach § 5 Absatz 1 Satz 2,</w:t>
      </w:r>
    </w:p>
    <w:p>
      <w:pPr>
        <w:ind w:left="420"/>
      </w:pPr>
      <w:r>
        <w:t xml:space="preserve">2. zur Feststellung von Verstößen gegen Aufenthaltsvorgaben nach § 55 Absatz 1 und Kontaktverbote nach § 55 Absatz 2,</w:t>
      </w:r>
    </w:p>
    <w:p>
      <w:pPr>
        <w:ind w:left="420"/>
      </w:pPr>
      <w:r>
        <w:t xml:space="preserve">3. zur Verfolgung einer Straftat nach § 87,</w:t>
      </w:r>
    </w:p>
    <w:p>
      <w:pPr>
        <w:ind w:left="420"/>
      </w:pPr>
      <w:r>
        <w:t xml:space="preserve">4. zur Abwehr einer erheblichen gegenwärtigen Gefahr für Leib, Leben oder Freiheit einer dritten Person,</w:t>
      </w:r>
    </w:p>
    <w:p>
      <w:pPr>
        <w:ind w:left="420"/>
      </w:pPr>
      <w:r>
        <w:t xml:space="preserve">5. zur Aufrechterhaltung der Funktionsfähigkeit der technischen Mittel.</w:t>
      </w:r>
    </w:p>
    <w:p>
      <w:r>
        <w:t xml:space="preserve">Zur Einhaltung der Zweckbindung nach Satz 3 hat die Verarbeitung der Daten automatisiert zu erfolgen, und es sind die Daten gegen unbefugte Kenntnisnahme besonders zu sichern. Die in Satz 1 genannten Daten sind spätestens zwei Monate nach ihrer Erhebung zu löschen, soweit sie nicht für die in Satz 3 genannten Zwecke verwendet werden. Werden innerhalb der Wohnung der betroffenen Person über den Umstand ihrer Anwesenheit hinausgehende Aufenthaltsdaten erhoben, dürfen diese nicht verwendet werden und sind unverzüglich nach Kenntnisnahme zu löschen. Die Tatsache ihrer Kenntnisnahme und Löschung ist zu dokumentieren. Die Dokumentation darf ausschließlich für Zwecke der Datenschutzkontrolle verwendet werden. Sie ist nach Abschluss der Datenschutzkontrolle nach § 69 Absatz 1 zu löschen.</w:t>
      </w:r>
    </w:p>
    <w:p>
      <w:r>
        <w:t xml:space="preserve">(3) Die zuständigen Polizeibehörden des Bundes und der Länder sowie sonstige öffentliche Stellen übermitteln dem Bundeskriminalamt personenbezogene Daten über die betroffene Person, soweit dies zur Durchführung der Maßnahme nach den Absätzen 1 und 2 erforderlich ist. Das Bundeskriminalamt kann zu diesem Zweck auch bei anderen Stellen personenbezogene Daten über die betroffene Person erheben.</w:t>
      </w:r>
    </w:p>
    <w:p>
      <w:r>
        <w:t xml:space="preserve">(4) Zur Durchführung der Maßnahme nach Absatz 1 hat das Bundeskriminalamt</w:t>
      </w:r>
    </w:p>
    <w:p>
      <w:pPr>
        <w:ind w:left="420"/>
      </w:pPr>
      <w:r>
        <w:t xml:space="preserve">1. Daten des Aufenthaltsortes der betroffenen Person an die zuständigen Polizei- und Strafverfolgungsbehörden weiterzugeben, wenn dies zur Verhütung oder zur Verfolgung einer Straftat nach § 5 Absatz 1 Satz 2 erforderlich ist,</w:t>
      </w:r>
    </w:p>
    <w:p>
      <w:pPr>
        <w:ind w:left="420"/>
      </w:pPr>
      <w:r>
        <w:t xml:space="preserve">2. Daten des Aufenthaltsortes der betroffenen Person an die zuständigen Polizeibehörden weiterzugeben, sofern dies zur Durchsetzung von Maßnahmen nach Absatz 2 Satz 3 Nummer 2 erforderlich ist,</w:t>
      </w:r>
    </w:p>
    <w:p>
      <w:pPr>
        <w:ind w:left="420"/>
      </w:pPr>
      <w:r>
        <w:t xml:space="preserve">3. Daten des Aufenthaltsortes der betroffenen Person an die zuständige Strafverfolgungsbehörde zur Verfolgung einer Straftat nach § 87 weiterzugeben,</w:t>
      </w:r>
    </w:p>
    <w:p>
      <w:pPr>
        <w:ind w:left="420"/>
      </w:pPr>
      <w:r>
        <w:t xml:space="preserve">4. Daten des Aufenthaltsortes der betroffenen Person an zuständige Polizeibehörden weiterzugeben, sofern dies zur Abwehr einer erheblichen gegenwärtigen Gefahr im Sinne von Absatz 2 Satz 3 Nummer 4 erforderlich ist,</w:t>
      </w:r>
    </w:p>
    <w:p>
      <w:pPr>
        <w:ind w:left="420"/>
      </w:pPr>
      <w:r>
        <w:t xml:space="preserve">5. eingehende Systemmeldungen über Verstöße nach Absatz 2 Satz 3 Nummer 2 entgegenzunehmen und zu bewerten,</w:t>
      </w:r>
    </w:p>
    <w:p>
      <w:pPr>
        <w:ind w:left="420"/>
      </w:pPr>
      <w:r>
        <w:t xml:space="preserve">6. die Ursache einer Meldung zu ermitteln; hierzu kann das Bundeskriminalamt Kontakt mit der betroffenen Person aufnehmen, sie befragen, sie auf den Verstoß hinweisen und ihr mitteilen, wie sie dessen Beendigung bewirken kann,</w:t>
      </w:r>
    </w:p>
    <w:p>
      <w:pPr>
        <w:ind w:left="420"/>
      </w:pPr>
      <w:r>
        <w:t xml:space="preserve">7. eine Überprüfung der bei der betroffenen Person vorhandenen technischen Geräte auf ihre Funktionsfähigkeit oder Manipulation und die zu der Behebung einer Funktionsbeeinträchtigung erforderlichen Maßnahmen, insbesondere den Austausch der technischen Mittel oder von Teilen davon, einzuleiten,</w:t>
      </w:r>
    </w:p>
    <w:p>
      <w:pPr>
        <w:ind w:left="420"/>
      </w:pPr>
      <w:r>
        <w:t xml:space="preserve">8. Anfragen der betroffenen Person zum Umgang mit den technischen Mitteln zu beantworten.</w:t>
      </w:r>
    </w:p>
    <w:p>
      <w:r>
        <w:t xml:space="preserve">(5) Maßnahmen nach Absatz 1 dürfen nur auf Antrag der zuständigen Abteilungsleitung oder deren Vertretung durch das Gericht angeordnet werden. Bei Gefahr im Verzug kann die Anordnung durch die zuständige Abteilungsleitung oder deren Vertretung getroffen werden. In diesem Fall ist die gerichtliche Entscheidung unverzüglich nachzuholen. Soweit die Anordnung nicht binnen drei Tagen durch das Gericht bestätigt wird, tritt sie außer Kraft.</w:t>
      </w:r>
    </w:p>
    <w:p>
      <w:r>
        <w:t xml:space="preserve">(6) Im Antrag sind anzugeben:</w:t>
      </w:r>
    </w:p>
    <w:p>
      <w:pPr>
        <w:ind w:left="420"/>
      </w:pPr>
      <w:r>
        <w:t xml:space="preserve">1. die Person, gegen die sich die Maßnahme richtet, mit Name und Anschrift,</w:t>
      </w:r>
    </w:p>
    <w:p>
      <w:pPr>
        <w:ind w:left="420"/>
      </w:pPr>
      <w:r>
        <w:t xml:space="preserve">2. Art, Umfang und Dauer der Maßnahme,</w:t>
      </w:r>
    </w:p>
    <w:p>
      <w:pPr>
        <w:ind w:left="420"/>
      </w:pPr>
      <w:r>
        <w:t xml:space="preserve">3. die Angabe, ob gegenüber der Person, gegen die sich die Maßnahme richtet, eine Aufenthaltsvorgabe oder ein Kontaktverbot besteht,</w:t>
      </w:r>
    </w:p>
    <w:p>
      <w:pPr>
        <w:ind w:left="420"/>
      </w:pPr>
      <w:r>
        <w:t xml:space="preserve">4. der Sachverhalt sowie</w:t>
      </w:r>
    </w:p>
    <w:p>
      <w:pPr>
        <w:ind w:left="420"/>
      </w:pPr>
      <w:r>
        <w:t xml:space="preserve">5. eine Begründung.</w:t>
      </w:r>
    </w:p>
    <w:p>
      <w:r>
        <w:t xml:space="preserve">(7) Die Anordnung ergeht schriftlich. In ihr sind anzugeben:</w:t>
      </w:r>
    </w:p>
    <w:p>
      <w:pPr>
        <w:ind w:left="420"/>
      </w:pPr>
      <w:r>
        <w:t xml:space="preserve">1. die Person, gegen die sich die Maßnahme richtet, mit Name und Anschrift,</w:t>
      </w:r>
    </w:p>
    <w:p>
      <w:pPr>
        <w:ind w:left="420"/>
      </w:pPr>
      <w:r>
        <w:t xml:space="preserve">2. Art, Umfang und Dauer der Maßnahme sowie</w:t>
      </w:r>
    </w:p>
    <w:p>
      <w:pPr>
        <w:ind w:left="420"/>
      </w:pPr>
      <w:r>
        <w:t xml:space="preserve">3. die wesentlichen Gründe.</w:t>
      </w:r>
    </w:p>
    <w:p>
      <w:r>
        <w:t xml:space="preserve">(8) Die Anordnung ist auf höchstens drei Monate zu befristen. Eine Verlängerung um jeweils nicht mehr als drei Monate ist möglich, soweit die Anordnungsvoraussetzungen fortbestehen. Liegen die Voraussetzungen der Anordnung nicht mehr vor, ist die Maßnahme unverzüglich zu beenden.</w:t>
      </w:r>
    </w:p>
    <w:p>
      <w:r>
        <w:rPr>
          <w:color w:val="555555"/>
          <w:sz w:val="17"/>
        </w:rPr>
        <w:t xml:space="preserve">Zitiervorschlag: § 56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