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BKAG 2018 — Abwehr von Gefahren des internationalen Terrorismus</w:t>
      </w:r>
    </w:p>
    <w:p>
      <w:r>
        <w:rPr>
          <w:color w:val="555555"/>
          <w:sz w:val="18"/>
        </w:rPr>
        <w:t xml:space="preserve">Bundeskriminalamtgesetz</w:t>
      </w:r>
    </w:p>
    <w:p>
      <w:r>
        <w:rPr>
          <w:color w:val="555555"/>
          <w:sz w:val="18"/>
        </w:rPr>
        <w:t xml:space="preserve">Stand: 28.07.2022 (konsolidierte Textfassung, kein amtliches Inkrafttretensdatum)</w:t>
      </w:r>
    </w:p>
    <w:p>
      <w:r>
        <w:t xml:space="preserve">(1) Das Bundeskriminalamt kann die Aufgabe der Abwehr von Gefahren des internationalen Terrorismus in Fällen wahrnehmen, in denen</w:t>
      </w:r>
    </w:p>
    <w:p>
      <w:pPr>
        <w:ind w:left="420"/>
      </w:pPr>
      <w:r>
        <w:t xml:space="preserve">1. eine länderübergreifende Gefahr vorliegt,</w:t>
      </w:r>
    </w:p>
    <w:p>
      <w:pPr>
        <w:ind w:left="420"/>
      </w:pPr>
      <w:r>
        <w:t xml:space="preserve">2. die Zuständigkeit einer Landespolizeibehörde nicht erkennbar ist oder</w:t>
      </w:r>
    </w:p>
    <w:p>
      <w:pPr>
        <w:ind w:left="420"/>
      </w:pPr>
      <w:r>
        <w:t xml:space="preserve">3. die oberste Landesbehörde um eine Übernahme ersucht.</w:t>
      </w:r>
    </w:p>
    <w:p>
      <w:r>
        <w:t xml:space="preserve">Gefahren des internationalen Terrorismus sind Gefahren der Verwirklichung von Straftaten, die in § 129a Absatz 1 und 2 des Strafgesetzbuchs bezeichnet und dazu bestimmt sind,</w:t>
      </w:r>
    </w:p>
    <w:p>
      <w:pPr>
        <w:ind w:left="420"/>
      </w:pPr>
      <w:r>
        <w:t xml:space="preserve">1. die Bevölkerung auf erhebliche Weise einzuschüchtern,</w:t>
      </w:r>
    </w:p>
    <w:p>
      <w:pPr>
        <w:ind w:left="420"/>
      </w:pPr>
      <w:r>
        <w:t xml:space="preserve">2. eine Behörde oder eine internationale Organisation rechtswidrig mit Gewalt oder durch Drohung mit Gewalt zu nötigen oder</w:t>
      </w:r>
    </w:p>
    <w:p>
      <w:pPr>
        <w:ind w:left="420"/>
      </w:pPr>
      <w:r>
        <w:t xml:space="preserve">3. die politischen, verfassungsrechtlichen, wirtschaftlichen oder sozialen Grundstrukturen eines Staates oder einer internationalen Organisation zu beseitigen oder erheblich zu beeinträchtigen,</w:t>
      </w:r>
    </w:p>
    <w:p>
      <w:r>
        <w:t xml:space="preserve">und durch die Art ihrer Begehung oder ihre Auswirkungen einen Staat oder eine internationale Organisation erheblich schädigen können. Das Bundeskriminalamt kann in den in Satz 1 bezeichneten Fällen auch zur Verhütung von Straftaten nach Satz 2 tätig werden.</w:t>
      </w:r>
    </w:p>
    <w:p>
      <w:r>
        <w:t xml:space="preserve">(2) Die Befugnisse der Länder und anderer Polizeibehörden des Bundes bleiben unberührt. Die zuständigen obersten Landesbehörden und, soweit zuständig, anderen Polizeibehörden des Bundes sind unverzüglich zu benachrichtigen, wenn das Bundeskriminalamt die Aufgabe nach Absatz 1 wahrnimmt. Die Aufgabenwahrnehmung erfolgt in gegenseitigem Benehmen. Stellt das Bundeskriminalamt bei der Aufgabenwahrnehmung nach Absatz 1 Satz 1 Nummer 2 die Zuständigkeit einer Landespolizeibehörde fest, so gibt es diese Aufgabe an diese Polizeibehörde ab, wenn nicht ein Fall des Absatzes 1 Satz 1 Nummer 1 oder Nummer 3 vorliegt.</w:t>
      </w:r>
    </w:p>
    <w:p>
      <w:r>
        <w:t xml:space="preserve">(3) Das Bundeskriminalamt ist unbeschadet der Absätze 1 und 2 zuständige Behörde nach § 1 Absatz 1 des Terroristische-Online-Inhalte-Bekämpfungs-Gesetzes für den Erlass und die Überprüfung von Entfernungsanordnungen nach den Artikeln 3 und 4 der Verordnung (EU) 2021/784 des Europäischen Parlaments und des Rates vom 29. April 2021 zur Bekämpfung der Verbreitung terroristischer Online-Inhalte (ABl. L 172 vom 17.5.2021, S. 79).</w:t>
      </w:r>
    </w:p>
    <w:p>
      <w:r>
        <w:rPr>
          <w:color w:val="555555"/>
          <w:sz w:val="17"/>
        </w:rPr>
        <w:t xml:space="preserve">Zitiervorschlag: § 5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