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BKAG 2018 — Rasterfahndung</w:t>
      </w:r>
    </w:p>
    <w:p>
      <w:r>
        <w:rPr>
          <w:color w:val="555555"/>
          <w:sz w:val="18"/>
        </w:rPr>
        <w:t xml:space="preserve">Bundeskriminalamtgesetz</w:t>
      </w:r>
    </w:p>
    <w:p>
      <w:r>
        <w:rPr>
          <w:color w:val="555555"/>
          <w:sz w:val="18"/>
        </w:rPr>
        <w:t xml:space="preserve">Stand: 10.07.2026 (konsolidierte Textfassung, kein amtliches Inkrafttretensdatum)</w:t>
      </w:r>
    </w:p>
    <w:p>
      <w:r>
        <w:t xml:space="preserve">(1) Das Bundeskriminalamt kann von öffentlichen oder nichtöffentlichen Stellen die Übermittlung von personenbezogenen Daten von bestimmten Personengruppen zum Zwecke des automatisierten Abgleichs mit anderen Datenbeständen verlangen, soweit dies zur Abwehr einer Gefahr für den Bestand oder die Sicherheit des Bundes oder eines Landes oder für Leib, Leben oder Freiheit einer Person oder Sachen von bedeutendem Wert, deren Erhalt im öffentlichen Interesse geboten ist, erforderlich ist; eine solche Gefahr liegt in der Regel auch dann vor, wenn konkrete Vorbereitungshandlungen die Annahme rechtfertigen, dass eine Straftat nach § 5 Absatz 1 Satz 2 begangen werden soll. Vom Bundesamt für Verfassungsschutz und von den Verfassungsschutzbehörden der Länder, dem Militärischen Abschirmdienst sowie dem Bundesnachrichtendienst kann die Übermittlung nach Satz 1 nicht verlangt werden.</w:t>
      </w:r>
    </w:p>
    <w:p>
      <w:r>
        <w:t xml:space="preserve">(2) Das Übermittlungsersuchen ist auf Namen, Anschrift, Tag und Ort der Geburt sowie auf andere im Einzelfall festzulegende Merkmale zu beschränken; es darf sich nicht auf personenbezogene Daten erstrecken, die einem Berufs- oder besonderen Amtsgeheimnis unterliegen. Von Übermittlungsersuchen nicht erfasste personenbezogene Daten dürfen übermittelt werden, wenn wegen erheblicher technischer Schwierigkeiten oder wegen eines unangemessenen Zeit- oder Kostenaufwands eine Beschränkung auf die angeforderten Daten nicht möglich ist; diese Daten dürfen vom Bundeskriminalamt nicht verwendet werden.</w:t>
      </w:r>
    </w:p>
    <w:p>
      <w:r>
        <w:t xml:space="preserve">(3) Ist der Zweck der Maßnahme erreicht oder zeigt sich, dass er nicht erreicht werden kann, sind die übermittelten und im Zusammenhang mit der Maßnahme zusätzlich angefallenen Daten zu löschen und die Akten zu vernichten, soweit sie nicht für ein mit dem Sachverhalt zusammenhängendes Verfahren erforderlich sind. Die getroffene Maßnahme ist zu dokumentieren. Diese Dokumentation ist gesondert aufzubewahren und durch organisatorische und technische Maßnahmen zu sichern. Sie ist sechs Monate nach der Benachrichtigung nach § 74 oder sechs Monate nach Erteilung der gerichtlichen Zustimmung über das endgültige Absehen von der Benachrichtigung zu löschen. Ist die Datenschutzkontrolle nach § 69 Absatz 1 noch nicht beendet, ist die Dokumentation bis zu ihrem Abschluss aufzubewahren.</w:t>
      </w:r>
    </w:p>
    <w:p>
      <w:r>
        <w:t xml:space="preserve">(4) Die Maßnahme darf nur auf Antrag der zuständigen Abteilungsleitung des Bundeskriminalamtes oder deren Vertretung durch das Gericht angeordnet werden.</w:t>
      </w:r>
    </w:p>
    <w:p>
      <w:r>
        <w:rPr>
          <w:color w:val="555555"/>
          <w:sz w:val="17"/>
        </w:rPr>
        <w:t xml:space="preserve">Zitiervorschlag: § 48 BKAG 2018</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