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BKAG 2018 — Besondere Mittel der Datenerhebung</w:t>
      </w:r>
    </w:p>
    <w:p>
      <w:r>
        <w:rPr>
          <w:color w:val="555555"/>
          <w:sz w:val="18"/>
        </w:rPr>
        <w:t xml:space="preserve">Bundeskriminalamtgesetz</w:t>
      </w:r>
    </w:p>
    <w:p>
      <w:r>
        <w:rPr>
          <w:color w:val="555555"/>
          <w:sz w:val="18"/>
        </w:rPr>
        <w:t xml:space="preserve">Stand: 24.07.2025 (konsolidierte Textfassung, kein amtliches Inkrafttretensdatum)</w:t>
      </w:r>
    </w:p>
    <w:p>
      <w:r>
        <w:t xml:space="preserve">(1) Das Bundeskriminalamt kann personenbezogene Daten mit den besonderen Mitteln nach Absatz 2 erheben über</w:t>
      </w:r>
    </w:p>
    <w:p>
      <w:pPr>
        <w:ind w:left="420"/>
      </w:pPr>
      <w:r>
        <w:t xml:space="preserve">1. den entsprechend § 17 oder § 18 des Bundespolizeigesetzes Verantwortlichen oder entsprechend den Voraussetzungen des § 20 Absatz 1 des Bundespolizeigesetzes über die dort bezeichnete Person zur Abwehr einer Gefahr für den Bestand oder die Sicherheit des Bundes oder eines Landes oder für Leib, Leben oder Freiheit einer Person oder Sachen von bedeutendem Wert, deren Erhaltung im öffentlichen Interesse geboten ist,</w:t>
      </w:r>
    </w:p>
    <w:p>
      <w:pPr>
        <w:ind w:left="420"/>
      </w:pPr>
      <w:r>
        <w:t xml:space="preserve">2. eine Person, bei der bestimmte Tatsachen die Annahme rechtfertigen, dass sie innerhalb eines übersehbaren Zeitraums auf eine zumindest ihrer Art nach konkretisierte Weise eine Straftat nach § 5 Absatz 1 Satz 2 begehen wird,</w:t>
      </w:r>
    </w:p>
    <w:p>
      <w:pPr>
        <w:ind w:left="420"/>
      </w:pPr>
      <w:r>
        <w:t xml:space="preserve">3. eine Person, deren individuelles Verhalten die konkrete Wahrscheinlichkeit begründet, dass sie innerhalb eines übersehbaren Zeitraums eine Straftat nach § 5 Absatz 1 Satz 2 begehen wird, oder</w:t>
      </w:r>
    </w:p>
    <w:p>
      <w:pPr>
        <w:ind w:left="420"/>
      </w:pPr>
      <w:r>
        <w:t xml:space="preserve">4. eine Person, die in nicht nur flüchtigem oder zufälligem Kontakt mit einer Person steht, gegen die der Einsatz besonderer Mittel nach Nummer 1, 2 oder 3 zulässig wäre und</w:t>
      </w:r>
    </w:p>
    <w:p>
      <w:pPr>
        <w:ind w:left="780"/>
      </w:pPr>
      <w:r>
        <w:t xml:space="preserve">a) die von der Vorbereitung der Straftat nach § 5 Absatz 1 Satz 2 Kenntnis hat,</w:t>
      </w:r>
    </w:p>
    <w:p>
      <w:pPr>
        <w:ind w:left="780"/>
      </w:pPr>
      <w:r>
        <w:t xml:space="preserve">b) die aus der Verwertung der Tat Vorteile ziehen könnte oder</w:t>
      </w:r>
    </w:p>
    <w:p>
      <w:pPr>
        <w:ind w:left="780"/>
      </w:pPr>
      <w:r>
        <w:t xml:space="preserve">c) derer sich die Person nach Nummer 1, 2 oder 3 zur Begehung der Straftat bedienen könnte,</w:t>
      </w:r>
    </w:p>
    <w:p>
      <w:r>
        <w:t xml:space="preserve">wenn die Abwehr der Gefahr oder die Verhütung der Straftaten auf andere Weise aussichtslos ist oder wesentlich erschwert wäre. Die Maßnahme kann auch durchgeführt werden, wenn Dritte unvermeidbar betroffen werden.</w:t>
      </w:r>
    </w:p>
    <w:p>
      <w:r>
        <w:t xml:space="preserve">(2) Besondere Mittel der Datenerhebung sind</w:t>
      </w:r>
    </w:p>
    <w:p>
      <w:pPr>
        <w:ind w:left="420"/>
      </w:pPr>
      <w:r>
        <w:t xml:space="preserve">1. die planmäßig angelegte Beobachtung einer Person, die durchgehend länger als 24 Stunden dauern oder an mehr als zwei Tagen stattfinden soll (längerfristige Observation),</w:t>
      </w:r>
    </w:p>
    <w:p>
      <w:pPr>
        <w:ind w:left="420"/>
      </w:pPr>
      <w:r>
        <w:t xml:space="preserve">2. der Einsatz technischer Mittel außerhalb von Wohnungen in einer für die betroffene Person nicht erkennbaren Weise</w:t>
      </w:r>
    </w:p>
    <w:p>
      <w:pPr>
        <w:ind w:left="780"/>
      </w:pPr>
      <w:r>
        <w:t xml:space="preserve">a) zur Anfertigung von Bildaufnahmen oder -aufzeichnungen von Personen oder Sachen, die sich außerhalb von Wohnungen befinden, oder</w:t>
      </w:r>
    </w:p>
    <w:p>
      <w:pPr>
        <w:ind w:left="780"/>
      </w:pPr>
      <w:r>
        <w:t xml:space="preserve">b) zum Abhören oder Aufzeichnen des außerhalb von Wohnungen nicht öffentlich gesprochenen Wortes,</w:t>
      </w:r>
    </w:p>
    <w:p>
      <w:pPr>
        <w:ind w:left="420"/>
      </w:pPr>
      <w:r>
        <w:t xml:space="preserve">3. sonstige besondere für Observationszwecke bestimmte technische Mittel zur Erforschung des Sachverhalts oder zur Bestimmung des Aufenthaltsortes einer in Absatz 1 genannten Person,</w:t>
      </w:r>
    </w:p>
    <w:p>
      <w:pPr>
        <w:ind w:left="420"/>
      </w:pPr>
      <w:r>
        <w:t xml:space="preserve">4. der Einsatz von Privatpersonen, deren Zusammenarbeit mit dem Bundeskriminalamt Dritten nicht bekannt ist (Vertrauensperson), und</w:t>
      </w:r>
    </w:p>
    <w:p>
      <w:pPr>
        <w:ind w:left="420"/>
      </w:pPr>
      <w:r>
        <w:t xml:space="preserve">5. der Einsatz einer Polizeivollzugsbeamtin oder eines Polizeivollzugsbeamten unter einer ihr oder ihm verliehenen und auf Dauer angelegten Legende (Verdeckter Ermittler).</w:t>
      </w:r>
    </w:p>
    <w:p>
      <w:r>
        <w:t xml:space="preserve">(3) Maßnahmen nach</w:t>
      </w:r>
    </w:p>
    <w:p>
      <w:pPr>
        <w:ind w:left="420"/>
      </w:pPr>
      <w:r>
        <w:t xml:space="preserve">1. Absatz 2 Nummer 1,</w:t>
      </w:r>
    </w:p>
    <w:p>
      <w:pPr>
        <w:ind w:left="420"/>
      </w:pPr>
      <w:r>
        <w:t xml:space="preserve">2. Absatz 2 Nummer 2 Buchstabe a, bei denen durchgehend länger als 24 Stunden oder an mehr als zwei Tagen Bildaufzeichnungen bestimmter Personen angefertigt werden sollen,</w:t>
      </w:r>
    </w:p>
    <w:p>
      <w:pPr>
        <w:ind w:left="420"/>
      </w:pPr>
      <w:r>
        <w:t xml:space="preserve">3. Absatz 2 Nummer 2 Buchstabe b,</w:t>
      </w:r>
    </w:p>
    <w:p>
      <w:pPr>
        <w:ind w:left="420"/>
      </w:pPr>
      <w:r>
        <w:t xml:space="preserve">4. Absatz 2 Nummer 3, bei denen für Observationszwecke bestimmte technische Mittel durchgehend länger als 24 Stunden oder an mehr als zwei Tagen zum Einsatz kommen und</w:t>
      </w:r>
    </w:p>
    <w:p>
      <w:pPr>
        <w:ind w:left="420"/>
      </w:pPr>
      <w:r>
        <w:t xml:space="preserve">5. Absatz 2 Nummer 4 und 5, die sich gegen eine bestimmte Person richten oder bei denen die Vertrauensperson oder der Verdeckte Ermittler eine Wohnung betritt, die nicht allgemein zugänglich ist,</w:t>
      </w:r>
    </w:p>
    <w:p>
      <w:r>
        <w:t xml:space="preserve">dürfen nur auf Antrag der zuständigen Abteilungsleitung oder deren Vertretung durch das Gericht angeordnet werden. Bei Gefahr im Verzug kann die Anordnung einer Maßnahme nach Satz 1 durch die zuständige Abteilungsleitung oder deren Vertretung getroffen werden. In diesem Fall ist die gerichtliche Entscheidung unverzüglich nachzuholen. Soweit die Anordnung nach Satz 2 nicht binnen drei Tagen durch das Gericht bestätigt wird, tritt sie außer Kraft. Die übrigen Maßnahmen nach Absatz 2 Nummer 1 bis 5 dürfen, außer bei Gefahr im Verzug, nur durch die zuständige Abteilungsleitung oder deren Vertretung angeordnet werden.</w:t>
      </w:r>
    </w:p>
    <w:p>
      <w:r>
        <w:t xml:space="preserve">(4) Im Antrag sind anzugeben:</w:t>
      </w:r>
    </w:p>
    <w:p>
      <w:pPr>
        <w:ind w:left="420"/>
      </w:pPr>
      <w:r>
        <w:t xml:space="preserve">1. die Person, gegen die sich die Maßnahme richtet, soweit möglich, mit Name und Anschrift,</w:t>
      </w:r>
    </w:p>
    <w:p>
      <w:pPr>
        <w:ind w:left="420"/>
      </w:pPr>
      <w:r>
        <w:t xml:space="preserve">2. Art, Umfang und Dauer der Maßnahme,</w:t>
      </w:r>
    </w:p>
    <w:p>
      <w:pPr>
        <w:ind w:left="420"/>
      </w:pPr>
      <w:r>
        <w:t xml:space="preserve">3. der Sachverhalt sowie</w:t>
      </w:r>
    </w:p>
    <w:p>
      <w:pPr>
        <w:ind w:left="420"/>
      </w:pPr>
      <w:r>
        <w:t xml:space="preserve">4. eine Begründung.</w:t>
      </w:r>
    </w:p>
    <w:p>
      <w:r>
        <w:t xml:space="preserve">(5) Die Anordnung ergeht schriftlich. In ihr sind anzugeben:</w:t>
      </w:r>
    </w:p>
    <w:p>
      <w:pPr>
        <w:ind w:left="420"/>
      </w:pPr>
      <w:r>
        <w:t xml:space="preserve">1. die Person, gegen die sich die Maßnahme richtet, soweit möglich, mit Name und Anschrift,</w:t>
      </w:r>
    </w:p>
    <w:p>
      <w:pPr>
        <w:ind w:left="420"/>
      </w:pPr>
      <w:r>
        <w:t xml:space="preserve">2. Art, Umfang und Dauer der Maßnahme sowie</w:t>
      </w:r>
    </w:p>
    <w:p>
      <w:pPr>
        <w:ind w:left="420"/>
      </w:pPr>
      <w:r>
        <w:t xml:space="preserve">3. die wesentlichen Gründe.</w:t>
      </w:r>
    </w:p>
    <w:p>
      <w:r>
        <w:t xml:space="preserve">Die Anordnung ist auf höchstens einen Monat zu befristen; im Falle des Absatzes 2 Nummer 4 und 5 ist die Maßnahme auf höchstens drei Monate zu befristen. Die Verlängerung der Maßnahme bedarf einer neuen Anordnung. Absatz 3 Satz 4 und 5 gilt entsprechend.</w:t>
      </w:r>
    </w:p>
    <w:p>
      <w:r>
        <w:t xml:space="preserve">(6) Ein Verdeckter Ermittler darf unter der Legende</w:t>
      </w:r>
    </w:p>
    <w:p>
      <w:pPr>
        <w:ind w:left="420"/>
      </w:pPr>
      <w:r>
        <w:t xml:space="preserve">1. zur Erfüllung seines Auftrags am Rechtsverkehr teilnehmen und</w:t>
      </w:r>
    </w:p>
    <w:p>
      <w:pPr>
        <w:ind w:left="420"/>
      </w:pPr>
      <w:r>
        <w:t xml:space="preserve">2. mit Einverständnis der berechtigten Person deren Wohnung betreten; das Einverständnis darf nicht durch ein über die Nutzung der Legende hinausgehendes Vortäuschen eines Zutrittsrechts herbeigeführt werden.</w:t>
      </w:r>
    </w:p>
    <w:p>
      <w:r>
        <w:t xml:space="preserve">Soweit es für den Aufbau und die Aufrechterhaltung der Legende eines Verdeckten Ermittlers nach Absatz 2 Nummer 5 unerlässlich ist, dürfen entsprechende Urkunden hergestellt, verändert oder gebraucht werden. Im Übrigen richten sich die Befugnisse eines Verdeckten Ermittlers nach diesem Abschnitt. Für den Einsatz technischer Mittel zur Eigensicherung innerhalb von Wohnungen gilt § 34 entsprechend.</w:t>
      </w:r>
    </w:p>
    <w:p>
      <w:r>
        <w:t xml:space="preserve">(7) Liegen tatsächliche Anhaltspunkte für die Annahme vor, dass durch eine Maßnahme nach Absatz 2 allein Erkenntnisse aus dem Kernbereich privater Lebensgestaltung erlangt würden, ist die Maßnahme unzulässig. Ergeben sich bei Maßnahmen nach Absatz 2 Nummer 4 und 5 während der Durchführung tatsächliche Anhaltspunkte dafür, dass der Kernbereich betroffen ist, ist die Maßnahme zu unterbrechen, sobald dies ohne Gefährdung der beauftragten Person möglich ist. Soweit im Rahmen einer Maßnahme nach Absatz 2 Nummer 1 bis 3 eine unmittelbare Kenntnisnahme, auch neben einer automatischen Aufzeichnung, erfolgt, ist die Maßnahme unverzüglich zu unterbrechen, soweit sich während der Überwachung tatsächliche Anhaltspunkte dafür ergeben, dass Inhalte, die dem Kernbereich privater Lebensgestaltung zuzurechnen sind, erfasst werden. Bestehen insoweit Zweifel, darf die Maßnahme in den Fällen des Absatzes 2 Nummer 2 Buchstabe a und b als automatische Aufzeichnung weiter fortgesetzt werden. Automatische Aufzeichnungen sind unverzüglich dem anordnenden Gericht vorzulegen. Das Gericht entscheidet unverzüglich über die Verwertbarkeit oder Löschung der Daten. Ist die Maßnahme nach Satz 3 unterbrochen worden, so darf sie für den Fall, dass sie nicht nach Satz 1 unzulässig ist, fortgeführt werden. Erkenntnisse aus dem Kernbereich privater Lebensgestaltung, die durch eine Maßnahme nach Absatz 2 erlangt worden sind, dürfen nicht verwertet werden. Aufzeichnungen hierüber sind unverzüglich zu löschen. Die Tatsachen der Erfassung der Daten und der Löschung sind zu dokumentieren. Die Dokumentation darf ausschließlich für Zwecke der Datenschutzkontrolle verwendet werden. Sie ist sechs Monate nach der Benachrichtigung nach § 74 oder sechs Monate nach Erteilung der gerichtlichen Zustimmung über das endgültige Absehen von der Benachrichtigung zu löschen. Ist die Datenschutzkontrolle nach § 69 Absatz 1 noch nicht beendet, ist die Dokumentation bis zu ihrem Abschluss aufzubewahren.</w:t>
      </w:r>
    </w:p>
    <w:p>
      <w:r>
        <w:t xml:space="preserve">(8) Bei Gefahr im Verzug kann die Präsidentin oder der Präsident des Bundeskriminalamtes oder ihre oder seine Vertretung im Benehmen mit der oder dem Datenschutzbeauftragten des Bundeskriminalamtes über die Verwertung der Erkenntnisse entscheiden. Bei der Sichtung der erhobenen Daten kann sie oder er sich der technischen Unterstützung von zwei weiteren Bediensteten des Bundeskriminalamtes bedienen, von denen einer die Befähigung zum Richteramt haben muss. Die Bediensteten des Bundeskriminalamtes sind zur Verschwiegenheit über die ihnen bekannt werdenden Erkenntnisse, die nicht verwertet werden dürfen, verpflichtet. Die gerichtliche Entscheidung nach Absatz 7 ist unverzüglich nachzuholen.</w:t>
      </w:r>
    </w:p>
    <w:p>
      <w:r>
        <w:rPr>
          <w:color w:val="555555"/>
          <w:sz w:val="17"/>
        </w:rPr>
        <w:t xml:space="preserve">Zitiervorschlag: § 45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https://recht.nulegal.eu/gesetze/BKAG%202018/45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