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BKAG 2018 — Vorladung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kann eine Person schriftlich oder mündlich vorladen, wenn</w:t>
      </w:r>
    </w:p>
    <w:p>
      <w:pPr>
        <w:ind w:left="420"/>
      </w:pPr>
      <w:r>
        <w:t xml:space="preserve">1. Tatsachen die Annahme rechtfertigen, dass die Person sachdienliche Angaben machen kann, die für die Erfüllung der dem Bundeskriminalamt nach § 5 Absatz 1 Satz 1 obliegenden Aufgabe erforderlich sind, oder</w:t>
      </w:r>
    </w:p>
    <w:p>
      <w:pPr>
        <w:ind w:left="420"/>
      </w:pPr>
      <w:r>
        <w:t xml:space="preserve">2. dies zur Durchführung erkennungsdienstlicher Maßnahmen erforderlich ist.</w:t>
      </w:r>
    </w:p>
    <w:p>
      <w:r>
        <w:t xml:space="preserve">(2) § 25 Absatz 2 bis 4 des Bundespolizeigesetzes gilt entsprechend.</w:t>
      </w:r>
    </w:p>
    <w:p>
      <w:r>
        <w:rPr>
          <w:color w:val="555555"/>
          <w:sz w:val="17"/>
        </w:rPr>
        <w:t xml:space="preserve">Zitiervorschlag: § 44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