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BKAG 2018 — Erkennungsdienstliche Maßnahmen</w:t>
      </w:r>
    </w:p>
    <w:p>
      <w:r>
        <w:rPr>
          <w:color w:val="555555"/>
          <w:sz w:val="18"/>
        </w:rPr>
        <w:t xml:space="preserve">Bundeskriminalamtgesetz</w:t>
      </w:r>
    </w:p>
    <w:p>
      <w:r>
        <w:rPr>
          <w:color w:val="555555"/>
          <w:sz w:val="18"/>
        </w:rPr>
        <w:t xml:space="preserve">Stand: 10.06.2019 (konsolidierte Textfassung, kein amtliches Inkrafttretensdatum)</w:t>
      </w:r>
    </w:p>
    <w:p>
      <w:r>
        <w:t xml:space="preserve">(1) Ist eine nach § 42 Absatz 1 zulässige Identitätsfeststellung auf andere Weise nicht oder nur unter erheblichen Schwierigkeiten möglich, kann das Bundeskriminalamt erkennungsdienstliche Maßnahmen entsprechend § 24 Absatz 3 des Bundespolizeigesetzes vornehmen.</w:t>
      </w:r>
    </w:p>
    <w:p>
      <w:r>
        <w:t xml:space="preserve">(2) Ist die Identität festgestellt, sind die im Zusammenhang mit der Feststellung angefallenen Unterlagen zu vernichten, es sei denn, ihre weitere Aufbewahrung ist nach anderen Rechtsvorschriften zulässig. Sind die Unterlagen an andere Stellen übermittelt worden, sind diese über die erfolgte Vernichtung zu unterrichten.</w:t>
      </w:r>
    </w:p>
    <w:p>
      <w:r>
        <w:rPr>
          <w:color w:val="555555"/>
          <w:sz w:val="17"/>
        </w:rPr>
        <w:t xml:space="preserve">Zitiervorschlag: § 43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