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BKAG 2018 — Strafverfolgung</w:t>
      </w:r>
    </w:p>
    <w:p>
      <w:r>
        <w:rPr>
          <w:color w:val="555555"/>
          <w:sz w:val="18"/>
        </w:rPr>
        <w:t xml:space="preserve">Bundeskriminalamtgesetz</w:t>
      </w:r>
    </w:p>
    <w:p>
      <w:r>
        <w:rPr>
          <w:color w:val="555555"/>
          <w:sz w:val="18"/>
        </w:rPr>
        <w:t xml:space="preserve">Stand: 02.04.2026 (konsolidierte Textfassung, kein amtliches Inkrafttretensdatum)</w:t>
      </w:r>
    </w:p>
    <w:p>
      <w:r>
        <w:t xml:space="preserve">(1) Das Bundeskriminalamt nimmt die polizeilichen Aufgaben auf dem Gebiet der Strafverfolgung wahr</w:t>
      </w:r>
    </w:p>
    <w:p>
      <w:pPr>
        <w:ind w:left="420"/>
      </w:pPr>
      <w:r>
        <w:t xml:space="preserve">1. in Fällen des international organisierten ungesetzlichen Handels mit Waffen, Munition, Sprengstoffen, Betäubungsmitteln, neuen psychoaktiven Stoffen oder Arzneimitteln und der international organisierten Herstellung oder Verbreitung von Falschgeld, die eine Sachaufklärung im Ausland erfordern, sowie damit im Zusammenhang begangener Straftaten einschließlich der international organisierten Geldwäsche,</w:t>
      </w:r>
    </w:p>
    <w:p>
      <w:pPr>
        <w:ind w:left="420"/>
      </w:pPr>
      <w:r>
        <w:t xml:space="preserve">2. in Fällen von Straftaten, die sich gegen das Leben (§§ 211, 212 des Strafgesetzbuchs) oder die Freiheit (§§ 234 bis 234b, 239, 239b des Strafgesetzbuchs) des Bundespräsidenten, von Mitgliedern der Bundesregierung, des Deutschen Bundestages und des Bundesverfassungsgerichts oder der Gäste der Verfassungsorgane des Bundes aus anderen Staaten oder der Leitungen und Mitglieder der bei der Bundesrepublik Deutschland beglaubigten diplomatischen Vertretungen richten, wenn anzunehmen ist, dass der Täter aus politischen Motiven gehandelt hat und die Tat bundes- oder außenpolitische Belange berührt,</w:t>
      </w:r>
    </w:p>
    <w:p>
      <w:pPr>
        <w:ind w:left="420"/>
      </w:pPr>
      <w:r>
        <w:t xml:space="preserve">3. in den Fällen international organisierter Straftaten</w:t>
      </w:r>
    </w:p>
    <w:p>
      <w:pPr>
        <w:ind w:left="780"/>
      </w:pPr>
      <w:r>
        <w:t xml:space="preserve">a) nach § 129a, auch in Verbindung mit § 129b Absatz 1, des Strafgesetzbuchs,</w:t>
      </w:r>
    </w:p>
    <w:p>
      <w:pPr>
        <w:ind w:left="780"/>
      </w:pPr>
      <w:r>
        <w:t xml:space="preserve">b) nach den §§ 105 und 106 des Strafgesetzbuchs zum Nachteil des Bundespräsidenten, eines Verfassungsorgans des Bundes oder des Mitgliedes eines Verfassungsorgans des Bundes und damit im Zusammenhang stehender Straftaten,</w:t>
      </w:r>
    </w:p>
    <w:p>
      <w:pPr>
        <w:ind w:left="420"/>
      </w:pPr>
      <w:r>
        <w:t xml:space="preserve">4. in den Fällen der in § 129a Absatz 1 Nummer 1 und 2 des Strafgesetzbuchs genannten Straftaten und damit im Zusammenhang stehender Straftaten, soweit es sich um eine Auslandstat handelt und ein Gerichtsstand noch nicht feststeht,</w:t>
      </w:r>
    </w:p>
    <w:p>
      <w:pPr>
        <w:ind w:left="420"/>
      </w:pPr>
      <w:r>
        <w:t xml:space="preserve">5. in den Fällen von Straftaten nach den §§ 202a, 202b, 202c, 263a, 303a und 303b des Strafgesetzbuchs, soweit tatsächliche Anhaltspunkte dafür vorliegen, dass die Tat sich richtet gegen</w:t>
      </w:r>
    </w:p>
    <w:p>
      <w:pPr>
        <w:ind w:left="780"/>
      </w:pPr>
      <w:r>
        <w:t xml:space="preserve">a) die innere oder äußere Sicherheit der Bundesrepublik Deutschland oder</w:t>
      </w:r>
    </w:p>
    <w:p>
      <w:pPr>
        <w:ind w:left="780"/>
      </w:pPr>
      <w:r>
        <w:t xml:space="preserve">b) Behörden oder Einrichtungen des Bundes oder sicherheitsempfindliche Stellen von lebenswichtigen Einrichtungen, bei deren Ausfall oder Zerstörung eine erhebliche Bedrohung für die Gesundheit oder das Leben von Menschen zu befürchten ist oder die für das Funktionieren des Gemeinwesens unverzichtbar sind,</w:t>
      </w:r>
    </w:p>
    <w:p>
      <w:pPr>
        <w:ind w:left="420"/>
      </w:pPr>
      <w:r>
        <w:t xml:space="preserve">6. in den Fällen von</w:t>
      </w:r>
    </w:p>
    <w:p>
      <w:pPr>
        <w:ind w:left="780"/>
      </w:pPr>
      <w:r>
        <w:t xml:space="preserve">a) Straftaten nach den §§ 81, 83 Absatz 1, den §§ 87, 87a, 88 und 94 bis 100a des Strafgesetzbuchs und nach § 13 des Völkerstrafgesetzbuchs sowie</w:t>
      </w:r>
    </w:p>
    <w:p>
      <w:pPr>
        <w:ind w:left="780"/>
      </w:pPr>
      <w:r>
        <w:t xml:space="preserve">b) Straftaten nach den §§ 211, 212, 234 bis 234b, 239, 239a, 239b des Strafgesetzbuchs, wenn anzunehmen ist, dass die Tat durch Angehörige des Geheimdienstes einer fremden Macht oder im Auftrag einer fremden Macht oder den Geheimdienst einer fremden Macht begangen worden ist.</w:t>
      </w:r>
    </w:p>
    <w:p>
      <w:r>
        <w:t xml:space="preserve">Die Staatsanwaltschaft kann im Benehmen mit dem Bundeskriminalamt die Ermittlungen einer anderen sonst zuständigen Polizeibehörde übertragen. Die Wahrnehmung der Aufgaben nach Satz 1 Nummer 2 und 3 Buchstabe b bedarf der Zustimmung des Bundesministeriums des Innern, für Bau und Heimat; bei Gefahr im Verzug kann das Bundeskriminalamt vor Erteilung der Zustimmung tätig werden.</w:t>
      </w:r>
    </w:p>
    <w:p>
      <w:r>
        <w:t xml:space="preserve">(2) Das Bundeskriminalamt nimmt darüber hinaus die polizeilichen Aufgaben auf dem Gebiet der Strafverfolgung wahr, wenn</w:t>
      </w:r>
    </w:p>
    <w:p>
      <w:pPr>
        <w:ind w:left="420"/>
      </w:pPr>
      <w:r>
        <w:t xml:space="preserve">1. eine zuständige Landesbehörde darum ersucht,</w:t>
      </w:r>
    </w:p>
    <w:p>
      <w:pPr>
        <w:ind w:left="420"/>
      </w:pPr>
      <w:r>
        <w:t xml:space="preserve">2. das Bundesministerium des Innern, für Bau und Heimat es nach Unterrichtung der obersten Landesbehörde aus schwerwiegenden Gründen anordnet oder</w:t>
      </w:r>
    </w:p>
    <w:p>
      <w:pPr>
        <w:ind w:left="420"/>
      </w:pPr>
      <w:r>
        <w:t xml:space="preserve">3. der Generalbundesanwalt darum ersucht oder einen Auftrag erteilt.</w:t>
      </w:r>
    </w:p>
    <w:p>
      <w:r>
        <w:t xml:space="preserve">Satz 1 Nummer 1 und 3 gilt entsprechend für die Fahndung nach Verurteilten zum Zwecke der Vollstreckung.</w:t>
      </w:r>
    </w:p>
    <w:p>
      <w:r>
        <w:t xml:space="preserve">(3) Die für die Strafrechtspflege und die Polizei zuständigen obersten Landesbehörden sind unverzüglich zu benachrichtigen, wenn das Bundeskriminalamt polizeiliche Aufgaben auf dem Gebiet der Strafverfolgung wahrnimmt; außerdem sind unverzüglich zu benachrichtigen die zuständigen Landeskriminalämter, der Generalbundesanwalt in den Fällen, in denen er für die Führung der Ermittlungen zuständig ist, und in den übrigen Fällen die Generalstaatsanwaltschaften, in deren Bezirken ein Gerichtsstand begründet ist. Die Verpflichtung anderer Polizeibehörden zur Durchführung der notwendigen unaufschiebbaren Maßnahmen sowie die Befugnisse der Staatsanwaltschaft nach § 161 der Strafprozessordnung bleiben unberührt.</w:t>
      </w:r>
    </w:p>
    <w:p>
      <w:r>
        <w:t xml:space="preserve">(4) In den Fällen der Absätze 1 und 2 kann das Bundeskriminalamt den zuständigen Landeskriminalämtern Weisungen für die Zusammenarbeit geben. Die oberste Landesbehörde ist unverzüglich zu benachrichtigen.</w:t>
      </w:r>
    </w:p>
    <w:p>
      <w:r>
        <w:rPr>
          <w:color w:val="555555"/>
          <w:sz w:val="17"/>
        </w:rPr>
        <w:t xml:space="preserve">Zitiervorschlag: § 4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https://recht.nulegal.eu/gesetze/BKAG%202018/4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