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38 BKAG 2018 — Allgemeine Befugnisse</w:t>
      </w:r>
    </w:p>
    <w:p>
      <w:r>
        <w:rPr>
          <w:color w:val="555555"/>
          <w:sz w:val="18"/>
        </w:rPr>
        <w:t xml:space="preserve">Bundeskriminalamtgesetz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Das Bundeskriminalamt kann zur Erfüllung seiner Aufgabe nach § 5 Absatz 1 Satz 1 die notwendigen Maßnahmen treffen, um eine Gefahr abzuwehren, soweit nicht dieses Gesetz die Befugnisse des Bundeskriminalamtes besonders regelt. Die §§ 15 bis 20 des Bundespolizeigesetzes gelten entsprechend.</w:t>
      </w:r>
    </w:p>
    <w:p>
      <w:r>
        <w:t xml:space="preserve">(2) Gefahr im Sinne dieses Abschnitts ist eine im Einzelfall bestehende Gefahr für die öffentliche Sicherheit im Zusammenhang mit Straftaten nach § 5 Absatz 1 Satz 2.</w:t>
      </w:r>
    </w:p>
    <w:p>
      <w:r>
        <w:rPr>
          <w:color w:val="555555"/>
          <w:sz w:val="17"/>
        </w:rPr>
        <w:t xml:space="preserve">Zitiervorschlag: § 38 BKAG 2018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https://recht.nulegal.eu/gesetze/BKAG%202018/38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