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 BKAG 2018 — Ausschreibungen bei der Zusammenarbeit im internationalen Bereich</w:t>
      </w:r>
    </w:p>
    <w:p>
      <w:r>
        <w:rPr>
          <w:color w:val="555555"/>
          <w:sz w:val="18"/>
        </w:rPr>
        <w:t xml:space="preserve">Bundeskriminalamtgesetz</w:t>
      </w:r>
    </w:p>
    <w:p>
      <w:r>
        <w:rPr>
          <w:color w:val="555555"/>
          <w:sz w:val="18"/>
        </w:rPr>
        <w:t xml:space="preserve">Stand: 10.07.2026 (konsolidierte Textfassung, kein amtliches Inkrafttretensdatum)</w:t>
      </w:r>
    </w:p>
    <w:p>
      <w:r>
        <w:t xml:space="preserve">(1) Das Bundeskriminalamt kann auf ein der Verfolgung von Straftaten oder der Strafvollstreckung dienendes Ersuchen einer zuständigen Behörde eines ausländischen Staates oder eines internationalen Strafgerichtshofes, der durch einen für die Bundesrepublik Deutschland verbindlichen Rechtsakt errichtet wurde,</w:t>
      </w:r>
    </w:p>
    <w:p>
      <w:pPr>
        <w:ind w:left="420"/>
      </w:pPr>
      <w:r>
        <w:t xml:space="preserve">1. eine Person, hinsichtlich derer die Anordnung von Auslieferungshaft oder Überstellungshaft zulässig erscheint, zur Festnahme oder Aufenthaltsermittlung ausschreiben,</w:t>
      </w:r>
    </w:p>
    <w:p>
      <w:pPr>
        <w:ind w:left="420"/>
      </w:pPr>
      <w:r>
        <w:t xml:space="preserve">2. andere Personen zur Aufenthaltsermittlung ausschreiben,</w:t>
      </w:r>
    </w:p>
    <w:p>
      <w:pPr>
        <w:ind w:left="420"/>
      </w:pPr>
      <w:r>
        <w:t xml:space="preserve">3. eine Person oder eine Sache ausschreiben zur polizeilichen Beobachtung (§ 47 Absatz 1 Nummer 1), zur Ermittlungsanfrage (§ 47 Absatz 1 Nummer 2) oder zur gezielten Kontrolle (§ 47 Absatz 1 Nummer 3) und</w:t>
      </w:r>
    </w:p>
    <w:p>
      <w:pPr>
        <w:ind w:left="420"/>
      </w:pPr>
      <w:r>
        <w:t xml:space="preserve">4. Verfahren zur Feststellung der Identität von Personen durchführen.</w:t>
      </w:r>
    </w:p>
    <w:p>
      <w:r>
        <w:t xml:space="preserve">(2) Maßnahmen nach Absatz 1 Nummer 2, 3 und 4 sind nur zulässig, wenn sie bei dem zugrunde liegenden Sachverhalt auch nach deutschem Recht zulässig wären.</w:t>
      </w:r>
    </w:p>
    <w:p>
      <w:r>
        <w:t xml:space="preserve">(3) Das Bundeskriminalamt holt in Fällen des Absatzes 1, denen besondere Bedeutung in politischer, tatsächlicher oder rechtlicher Beziehung zukommt, zuvor die Bewilligung des Bundesministeriums der Justiz und für Verbraucherschutz ein.</w:t>
      </w:r>
    </w:p>
    <w:p>
      <w:r>
        <w:t xml:space="preserve">(4) Das Bundeskriminalamt kann auf Ersuchen der in § 26 Absatz 1 und § 27 Absatz 1 genannten Behörden</w:t>
      </w:r>
    </w:p>
    <w:p>
      <w:pPr>
        <w:ind w:left="420"/>
      </w:pPr>
      <w:r>
        <w:t xml:space="preserve">1. vermisste Minderjährige, die der Obhut der oder des Sorgeberechtigten entzogen worden sind oder sich dieser entzogen haben, und Personen, bei denen eine Ingewahrsamnahme zum Schutz gegen eine Gefahr für ihren Leib oder ihr Leben erforderlich ist, insbesondere, weil die Person sich erkennbar in einem die freie Willensbestimmung ausschließenden Zustand oder sonst in hilfloser Lage befindet, zur Ingewahrsamnahme ausschreiben,</w:t>
      </w:r>
    </w:p>
    <w:p>
      <w:pPr>
        <w:ind w:left="420"/>
      </w:pPr>
      <w:r>
        <w:t xml:space="preserve">2. Vermisste, soweit sie nicht in Gewahrsam genommen werden sollen, zur Aufenthaltsermittlung ausschreiben,</w:t>
      </w:r>
    </w:p>
    <w:p>
      <w:pPr>
        <w:ind w:left="420"/>
      </w:pPr>
      <w:r>
        <w:t xml:space="preserve">3. eine Person ausschreiben zur polizeilichen Beobachtung (§ 47 Absatz 1 Nummer 1), zur Ermittlungsanfrage (§ 47 Absatz 1 Nummer 2) oder zur gezielten Kontrolle (§ 47 Absatz 1 Nummer 3), wenn Tatsachen die Annahme rechtfertigen, dass die Person Straftaten von erheblicher Bedeutung begehen wird und dies zur Verhütung solcher Straftaten erforderlich ist,</w:t>
      </w:r>
    </w:p>
    <w:p>
      <w:pPr>
        <w:ind w:left="420"/>
      </w:pPr>
      <w:r>
        <w:t xml:space="preserve">4. Kraftfahrzeuge unabhängig von der Antriebsart, Anhänger mit einem Leergewicht von mehr als 750 Kilogramm, Wohnwagen, Wasserfahrzeuge, Container, Luftfahrzeuge, Schusswaffen, amtliche oder gefälschte Blankodokumente, amtliche oder gefälschte Identitätsdokumente und bargeldlose Zahlungsmittel ausschreiben zur polizeilichen Beobachtung (§ 47 Absatz 1 Nummer 1), Ermittlungsanfrage (§ 47 Absatz 1 Nummer 2) oder gezielten Kontrolle (§ 47 Absatz 1 Nummer 3), wenn Tatsachen die Annahme rechtfertigen, dass dies zur Ingewahrsamnahme nach Nummer 1, zur Aufenthaltsermittlung nach Nummer 2 oder zur Straftatenverhütung nach Nummer 3 erforderlich ist.</w:t>
      </w:r>
    </w:p>
    <w:p>
      <w:r>
        <w:t xml:space="preserve">(5) Ausschreibungen nach Absatz 1 Nummer 2 und 3 und Absatz 4 Nummer 3, soweit sie aufgrund des Ersuchens eines Staates erfolgen, der nicht Mitgliedstaat der Europäischen Union ist, bedürfen der Anordnung durch das Gericht. Soweit Maßnahmen nach Absatz 1 Nummer 3 und Absatz 4 Nummer 3 und 4 keiner gerichtlichen Anordnung bedürfen, werden sie durch die zuständige Abteilungsleitung des Bundeskriminalamtes oder deren Vertretung angeordnet. Die Anordnung ist aktenkundig zu machen.</w:t>
      </w:r>
    </w:p>
    <w:p>
      <w:r>
        <w:t xml:space="preserve">(6) Anordnungen nach Absatz 1 Nummer 3 und Absatz 4 Nummer 3 sind auf höchstens ein Jahr zu befristen. Spätestens nach Ablauf von sechs Monaten ist zu prüfen, ob die Voraussetzungen für die Anordnung noch bestehen. Das Ergebnis dieser Prüfung ist aktenkundig zu machen. Die Verlängerung der Laufzeit über insgesamt ein Jahr hinaus bedarf der erneuten Anordnung.</w:t>
      </w:r>
    </w:p>
    <w:p>
      <w:r>
        <w:t xml:space="preserve">(7) Besondere Regelungen aufgrund von Rechtsakten der Europäischen Union und völkerrechtlicher Verträge bleiben unberührt.</w:t>
      </w:r>
    </w:p>
    <w:p>
      <w:r>
        <w:t xml:space="preserve">(8) Das Bundeskriminalamt kann für den Fall, dass die Zuständigkeit eines Landes nicht festgestellt werden kann, bei Warnmeldungen von Sicherheitsbehörden anderer Staaten</w:t>
      </w:r>
    </w:p>
    <w:p>
      <w:pPr>
        <w:ind w:left="420"/>
      </w:pPr>
      <w:r>
        <w:t xml:space="preserve">1. eine Person zur Ingewahrsamnahme ausschreiben, wenn und solange die Ingewahrsamnahme unerlässlich ist, um eine unmittelbar bevorstehende Gefahr für Leib, Leben, Freiheit oder wesentliche Vermögenswerte abzuwehren,</w:t>
      </w:r>
    </w:p>
    <w:p>
      <w:pPr>
        <w:ind w:left="420"/>
      </w:pPr>
      <w:r>
        <w:t xml:space="preserve">2. eine Person zur Aufenthaltsermittlung ausschreiben, wenn Tatsachen die Annahme rechtfertigen, dass von ihr eine Gefahr für Leib, Leben, Gesundheit oder wesentliche Vermögenswerte ausgeht, oder</w:t>
      </w:r>
    </w:p>
    <w:p>
      <w:pPr>
        <w:ind w:left="420"/>
      </w:pPr>
      <w:r>
        <w:t xml:space="preserve">3. eine Person sowie die von ihr genutzten oder eingesetzten Kraftfahrzeuge unabhängig von der Antriebsart, Anhänger mit einem Leergewicht von mehr als 750 Kilogramm, Wohnwagen, Wasserfahrzeuge, Container, Luftfahrzeuge, Schusswaffen, amtliche oder gefälschte Blankodokumente, amtliche oder gefälschte Identitätsdokumente und bargeldlose Zahlungsmittel ausschreiben zur polizeilichen Beobachtung (§ 47 Absatz 1 Nummer 1), zur Ermittlungsanfrage (§ 47 Absatz 1 Nummer 2) oder zur gezielten Kontrolle (§ 47 Absatz 1 Nummer 3), wenn Tatsachen die Annahme rechtfertigen, dass die Person eine Straftat von erheblicher Bedeutung begehen wird und dies zur Verhütung dieser Straftat erforderlich ist.</w:t>
      </w:r>
    </w:p>
    <w:p>
      <w:r>
        <w:t xml:space="preserve">Die Absätze 5 und 6 gelten entsprechend. Die Innenministerien und Senatsinnenverwaltungen der Länder sind unverzüglich zu unterrichten.</w:t>
      </w:r>
    </w:p>
    <w:p>
      <w:r>
        <w:rPr>
          <w:color w:val="555555"/>
          <w:sz w:val="17"/>
        </w:rPr>
        <w:t xml:space="preserve">Zitiervorschlag: § 33 BKAG 2018</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 BKAG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