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30a BKAG 2018 — Besondere Regelungen für die Weiterverarbeitung personenbezogener Daten im polizeilichen Informationsverbund</w:t>
      </w:r>
    </w:p>
    <w:p>
      <w:r>
        <w:rPr>
          <w:color w:val="555555"/>
          <w:sz w:val="18"/>
        </w:rPr>
        <w:t xml:space="preserve">Bundeskriminalamtgesetz</w:t>
      </w:r>
    </w:p>
    <w:p>
      <w:r>
        <w:rPr>
          <w:color w:val="555555"/>
          <w:sz w:val="18"/>
        </w:rPr>
        <w:t xml:space="preserve">Stand: 24.07.2025 (konsolidierte Textfassung, kein amtliches Inkrafttretensdatum)</w:t>
      </w:r>
    </w:p>
    <w:p>
      <w:r>
        <w:t xml:space="preserve">(1) Für die Weiterverarbeitung von Daten im polizeilichen Informationsverbund gelten § 12 Absatz 2 bis 5, die §§ 14, 15 und 16 Absatz 1, 2, 5 und 6, § 18 Absatz 1, 2, 4 und 5, § 19 Absatz 1 und 2 sowie die §§ 20 und 91 entsprechend, soweit in Absatz 2 nichts anderes geregelt ist.</w:t>
      </w:r>
    </w:p>
    <w:p>
      <w:r>
        <w:t xml:space="preserve">(2) Die vorsorgende Speicherung personenbezogener Daten von Beschuldigten und Tatverdächtigen ist nur zulässig, wenn tatsächliche Anhaltspunkte dafür vorliegen, dass wegen der Art oder Ausführung der Tat, der Persönlichkeit der betroffenen Person oder sonstiger Erkenntnisse eine hinreichende Wahrscheinlichkeit dafür besteht, dass die betroffene Person künftig Straftaten begehen wird und gerade die Weiterverarbeitung der gespeicherten Daten zu deren Verhütung und Verfolgung beitragen kann.</w:t>
      </w:r>
    </w:p>
    <w:p>
      <w:r>
        <w:rPr>
          <w:color w:val="555555"/>
          <w:sz w:val="17"/>
        </w:rPr>
        <w:t xml:space="preserve">Zitiervorschlag: § 30a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https://recht.nulegal.eu/gesetze/BKAG%202018/30a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