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BKAG 2018 — Verbundrelevanz</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Die am polizeilichen Informationsverbund teilnehmenden Stellen verarbeiten im polizeilichen Informationsverbund ausschließlich</w:t>
      </w:r>
    </w:p>
    <w:p>
      <w:pPr>
        <w:ind w:left="420"/>
      </w:pPr>
      <w:r>
        <w:t xml:space="preserve">1. personenbezogene Daten, deren Verarbeitung für die Verhütung und Verfolgung von Straftaten mit länderübergreifender, internationaler oder erheblicher Bedeutung erforderlich ist;</w:t>
      </w:r>
    </w:p>
    <w:p>
      <w:pPr>
        <w:ind w:left="420"/>
      </w:pPr>
      <w:r>
        <w:t xml:space="preserve">2. personenbezogene Daten, deren Verarbeitung im Informationsverbund erforderlich ist</w:t>
      </w:r>
    </w:p>
    <w:p>
      <w:pPr>
        <w:ind w:left="780"/>
      </w:pPr>
      <w:r>
        <w:t xml:space="preserve">a) zu erkennungsdienstlichen Zwecken, soweit das Bundeskriminalamt diese Daten nach § 16 Absatz 5 auch im Informationssystem weiterverarbeiten dürfte oder</w:t>
      </w:r>
    </w:p>
    <w:p>
      <w:pPr>
        <w:ind w:left="780"/>
      </w:pPr>
      <w:r>
        <w:t xml:space="preserve">b) zu Zwecken der Fahndung nach Personen und Sachen, soweit das Bundeskriminalamt diese Daten nach § 16 Absatz 2 auch im Informationssystem weiterverarbeiten dürfte</w:t>
      </w:r>
    </w:p>
    <w:p>
      <w:r>
        <w:t xml:space="preserve">(Verbundrelevanz).</w:t>
      </w:r>
    </w:p>
    <w:p>
      <w:r>
        <w:t xml:space="preserve">(2) Die am polizeilichen Informationsverbund teilnehmenden Stellen legen unter Beteiligung der jeweils zuständigen obersten Bundes- oder Landesbehörden Kriterien fest, die bestimmen, welche Straftaten nach allgemeiner kriminalistischer Erfahrung die Voraussetzungen nach Absatz 1 Nummer 1 erfüllen. Die Kriterien können sich an den unterschiedlichen kriminalistischen Phänomenbereichen orientieren. Die Kriterien sind in angemessenen Abständen und, soweit erforderlich, zu aktualisieren. Die Festlegung und Aktualisierung dieser Kriterien erfolgen im Benehmen mit der oder dem Bundesbeauftragten für den Datenschutz und die Informationsfreiheit.</w:t>
      </w:r>
    </w:p>
    <w:p>
      <w:r>
        <w:rPr>
          <w:color w:val="555555"/>
          <w:sz w:val="17"/>
        </w:rPr>
        <w:t xml:space="preserve">Zitiervorschlag: § 30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