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BKAG 2018 — Datenübermittlung im internationalen Bereich</w:t>
      </w:r>
    </w:p>
    <w:p>
      <w:r>
        <w:rPr>
          <w:color w:val="555555"/>
          <w:sz w:val="18"/>
        </w:rPr>
        <w:t xml:space="preserve">Bundeskriminalamtgesetz</w:t>
      </w:r>
    </w:p>
    <w:p>
      <w:r>
        <w:rPr>
          <w:color w:val="555555"/>
          <w:sz w:val="18"/>
        </w:rPr>
        <w:t xml:space="preserve">Stand: 29.12.2022 (konsolidierte Textfassung, kein amtliches Inkrafttretensdatum)</w:t>
      </w:r>
    </w:p>
    <w:p>
      <w:r>
        <w:t xml:space="preserve">(1) Das Bundeskriminalamt kann unter Beachtung des § 12 Absatz 2 bis 4 und unter Beachtung der §§ 78 bis 80 des Bundesdatenschutzgesetzes an Polizei- und Justizbehörden sowie an sonstige für die Verhütung oder Verfolgung von Straftaten zuständige öffentliche Stellen in anderen als den in § 26 Absatz 1 genannten Staaten (Drittstaaten) und an andere als die in § 26 Absatz 1 genannten zwischen- und überstaatlichen Stellen, die mit Aufgaben der Verhütung oder Verfolgung von Straftaten befasst sind, personenbezogene Daten übermitteln, soweit dies erforderlich ist</w:t>
      </w:r>
    </w:p>
    <w:p>
      <w:pPr>
        <w:ind w:left="420"/>
      </w:pPr>
      <w:r>
        <w:t xml:space="preserve">1. zur Erfüllung einer ihm obliegenden Aufgabe,</w:t>
      </w:r>
    </w:p>
    <w:p>
      <w:pPr>
        <w:ind w:left="420"/>
      </w:pPr>
      <w:r>
        <w:t xml:space="preserve">2. zur Verfolgung von Straftaten und zur Strafvollstreckung nach Maßgabe der Vorschriften über die internationale Rechtshilfe in strafrechtlichen Angelegenheiten oder der Vorschriften über die Zusammenarbeit mit dem Internationalen Strafgerichtshof oder</w:t>
      </w:r>
    </w:p>
    <w:p>
      <w:pPr>
        <w:ind w:left="420"/>
      </w:pPr>
      <w:r>
        <w:t xml:space="preserve">3. zur Abwehr einer im Einzelfall bestehenden erheblichen Gefahr für die öffentliche Sicherheit.</w:t>
      </w:r>
    </w:p>
    <w:p>
      <w:r>
        <w:t xml:space="preserve">Entsprechendes gilt, wenn Anhaltspunkte dafür vorliegen, dass Straftaten von erheblicher Bedeutung begangen werden sollen.</w:t>
      </w:r>
    </w:p>
    <w:p>
      <w:r>
        <w:t xml:space="preserve">(2) Mit Zustimmung des Bundesministeriums des Innern, für Bau und Heimat kann das Bundeskriminalamt gespeicherte nicht personenbezogene Daten, die der Suche nach Sachen dienen (Sachfahndung), für zentrale Polizeibehörden anderer Staaten nach Maßgabe zwischenstaatlicher Vereinbarungen zum Abruf im automatisierten Verfahren zur Sicherstellung von gestohlenen, unterschlagenen oder sonst abhanden gekommenen Sachen bereithalten.</w:t>
      </w:r>
    </w:p>
    <w:p>
      <w:r>
        <w:t xml:space="preserve">(3) Für Daten, die zu Zwecken der Fahndung nach Personen oder der polizeilichen Beobachtung, Ermittlungsanfrage oder gezielten Kontrolle gespeichert sind, ist die Einrichtung eines automatisierten Abrufverfahrens nach Absatz 2 mit Zustimmung des Bundesministeriums des Innern, für Bau und Heimat im Benehmen mit den Innenministerien und Senatsinnenverwaltungen der Länder unter Beachtung des § 12 Absatz 2 bis 4 zulässig, soweit</w:t>
      </w:r>
    </w:p>
    <w:p>
      <w:pPr>
        <w:ind w:left="420"/>
      </w:pPr>
      <w:r>
        <w:t xml:space="preserve">1. tatsächliche Anhaltspunkte dafür vorliegen, dass die Abrufe zur Verhinderung und Verfolgung von Straftaten von erheblicher Bedeutung sowie zur Abwehr von Gefahren für die öffentliche Sicherheit erforderlich sind,</w:t>
      </w:r>
    </w:p>
    <w:p>
      <w:pPr>
        <w:ind w:left="420"/>
      </w:pPr>
      <w:r>
        <w:t xml:space="preserve">2. diese Form der Datenübermittlung unter Berücksichtigung der schutzwürdigen Interessen der betroffenen Personen wegen der Vielzahl der Übermittlungen oder wegen ihrer besonderen Eilbedürftigkeit angemessen ist und</w:t>
      </w:r>
    </w:p>
    <w:p>
      <w:pPr>
        <w:ind w:left="420"/>
      </w:pPr>
      <w:r>
        <w:t xml:space="preserve">3. der Empfängerstaat das Übereinkommen des Europarates über den Schutz des Menschen bei der automatisierten Verarbeitung personenbezogener Daten vom 28. Januar 1981 (BGBl. 1985 II S. 538) ratifiziert hat oder ein gleichwertiger Schutz gewährleistet ist und eine Kontrollinstanz besteht, die die Gewährleistung des Datenschutzes unabhängig überwacht.</w:t>
      </w:r>
    </w:p>
    <w:p>
      <w:r>
        <w:t xml:space="preserve">Wird das Abrufverfahren für einen längeren Zeitraum als drei Monate eingerichtet, bedarf die Vereinbarung der Mitwirkung der gesetzgebenden Körperschaften nach Artikel 59 Absatz 2 des Grundgesetzes. Die empfangende Stelle ist darauf hinzuweisen, dass sie die Daten für Ausschreibungen zur Fahndung nur nach Vorliegen eines Rechtshilfeersuchens nutzen darf.</w:t>
      </w:r>
    </w:p>
    <w:p>
      <w:r>
        <w:t xml:space="preserve">(4) Die regelmäßige, im Rahmen einer systematischen Zusammenarbeit erfolgende Übermittlung personenbezogener Daten an internationale Datenbestände ist zulässig nach Maßgabe von Rechtsakten der Europäischen Union und völkerrechtlicher Verträge, die der Mitwirkung der gesetzgebenden Körperschaften nach Artikel 59 Absatz 2 des Grundgesetzes bedürfen. Entsprechendes gilt, wenn durch das Bundesministerium des Innern, für Bau und Heimat im Einzelfall im Benehmen mit der oder dem Bundesbeauftragten für den Datenschutz und die Informationsfreiheit festgestellt wird, dass durch die Nutzung datenschutzfreundlicher und datenminimierender Vorkehrungen die schutzwürdigen Belange der betroffenen Personen nicht überwiegen.</w:t>
      </w:r>
    </w:p>
    <w:p>
      <w:r>
        <w:t xml:space="preserve">(5) Das Bundeskriminalamt kann als Nationales Zentralbüro der Bundesrepublik Deutschland für die Internationale Kriminalpolizeiliche Organisation personenbezogene Daten an das Generalsekretariat der Organisation unter den Voraussetzungen des Absatzes 1 übermitteln, soweit dies zur weiteren Übermittlung der Daten an andere Nationale Zentralbüros oder an die in Absatz 1 genannten Stellen geboten oder zu Zwecken der Informationssammlung und Auswertung durch das Generalsekretariat erforderlich ist.</w:t>
      </w:r>
    </w:p>
    <w:p>
      <w:r>
        <w:t xml:space="preserve">(6) Das Bundeskriminalamt kann unter Beachtung des § 12 Absatz 2 bis 4 personenbezogene Daten an Dienststellen der Stationierungsstreitkräfte im Rahmen des Artikels 3 des Zusatzabkommens zu dem Abkommen zwischen den Parteien des Nordatlantikvertrages über die Rechtsstellung ihrer Truppen hinsichtlich der in der Bundesrepublik Deutschland stationierten ausländischen Streitkräfte vom 3. August 1959 (BGBl. 1961 II S. 1183) übermitteln, wenn dies zur rechtmäßigen Erfüllung der in deren Zuständigkeit liegenden Aufgaben erforderlich ist. § 78 Absatz 2 des Bundesdatenschutzgesetzes gilt entsprechend.</w:t>
      </w:r>
    </w:p>
    <w:p>
      <w:r>
        <w:t xml:space="preserve">(7) Die Verantwortung für die Zulässigkeit der Übermittlung trägt das Bundeskriminalamt. § 25 Absatz 4 Satz 2 gilt entsprechend. Das Bundeskriminalamt hat die Übermittlung und ihren Anlass aufzuzeichnen. Die empfangende Stelle personenbezogener Daten ist darauf hinzuweisen, dass sie nur zu dem Zweck genutzt werden dürfen, zu dem sie übermittelt worden sind. Ferner ist ihr der beim Bundeskriminalamt vorgesehene Löschungszeitpunkt mitzuteilen.</w:t>
      </w:r>
    </w:p>
    <w:p>
      <w:r>
        <w:t xml:space="preserve">(8) Das Bundeskriminalamt kann unter den Voraussetzungen des § 81 des Bundesdatenschutzgesetzes und unter Beachtung des § 12 Absatz 2 bis 4 Daten an die in § 81 des Bundesdatenschutzgesetzes genannten Stellen übermitteln. Zusätzlich kann es unter den Voraussetzungen des Satzes 1 an andere als die in Absatz 1 genannten zwischen- und überstaatlichen Stellen personenbezogene Daten übermitteln, soweit dies erforderlich ist</w:t>
      </w:r>
    </w:p>
    <w:p>
      <w:pPr>
        <w:ind w:left="420"/>
      </w:pPr>
      <w:r>
        <w:t xml:space="preserve">1. zur Erfüllung einer ihm obliegenden Aufgabe oder</w:t>
      </w:r>
    </w:p>
    <w:p>
      <w:pPr>
        <w:ind w:left="420"/>
      </w:pPr>
      <w:r>
        <w:t xml:space="preserve">2. zur Abwehr einer im Einzelfall bestehenden erheblichen Gefahr für die öffentliche Sicherheit.</w:t>
      </w:r>
    </w:p>
    <w:p>
      <w:r>
        <w:t xml:space="preserve">Entsprechendes gilt, wenn tatsächliche Anhaltspunkte dafür vorliegen, dass Straftaten von erheblicher Bedeutung begangen werden sollen.</w:t>
      </w:r>
    </w:p>
    <w:p>
      <w:r>
        <w:rPr>
          <w:color w:val="555555"/>
          <w:sz w:val="17"/>
        </w:rPr>
        <w:t xml:space="preserve">Zitiervorschlag: § 27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