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BKAG 2018 — Weiterverarbeitung von Daten zur Aus- und Fortbildung, zu statistischen Zwecken und zur Vorgangsverwaltung</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Das Bundeskriminalamt kann bei ihm vorhandene personenbezogene Daten zur polizeilichen Aus- und Fortbildung oder zu statistischen Zwecken weiterverarbeiten, soweit eine Weiterverarbeitung anonymisierter Daten zu diesem Zweck nicht möglich ist. Entsprechendes gilt für die Übermittlung an die Landeskriminalämter zu kriminalstatistischen Zwecken. Die Daten sind zum frühestmöglichen Zeitpunkt zu anonymisieren. § 21 Absatz 1 Satz 2 und Absatz 2 Satz 2 gilt entsprechend.</w:t>
      </w:r>
    </w:p>
    <w:p>
      <w:r>
        <w:t xml:space="preserve">(2) Das Bundeskriminalamt kann, wenn dies zur Vorgangsverwaltung oder zur befristeten Dokumentation polizeilichen Handelns erforderlich ist, personenbezogene Daten ausschließlich zu diesem Zweck weiterverarbeiten.</w:t>
      </w:r>
    </w:p>
    <w:p>
      <w:r>
        <w:rPr>
          <w:color w:val="555555"/>
          <w:sz w:val="17"/>
        </w:rPr>
        <w:t xml:space="preserve">Zitiervorschlag: § 22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