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BKAG 2018 — Verordnungsermächtigung</w:t>
      </w:r>
    </w:p>
    <w:p>
      <w:r>
        <w:rPr>
          <w:color w:val="555555"/>
          <w:sz w:val="18"/>
        </w:rPr>
        <w:t xml:space="preserve">Bundeskriminalamtgesetz</w:t>
      </w:r>
    </w:p>
    <w:p>
      <w:r>
        <w:rPr>
          <w:color w:val="555555"/>
          <w:sz w:val="18"/>
        </w:rPr>
        <w:t xml:space="preserve">Stand: 29.12.2022 (konsolidierte Textfassung, kein amtliches Inkrafttretensdatum)</w:t>
      </w:r>
    </w:p>
    <w:p>
      <w:r>
        <w:t xml:space="preserve">Das Bundesministerium des Innern, für Bau und Heimat bestimmt durch Rechtsverordnung mit Zustimmung des Bundesrates das Nähere über die Art und den Umfang der Daten, die nach den §§ 16, 18 und 19 weiterverarbeitet werden dürfen. In der Rechtsverordnung nach Satz 1 bestimmt es insbesondere</w:t>
      </w:r>
    </w:p>
    <w:p>
      <w:pPr>
        <w:ind w:left="420"/>
      </w:pPr>
      <w:r>
        <w:t xml:space="preserve">1. die Grunddaten nach § 18 Absatz 2 Nummer 1 Buchstabe a, die der Identifizierung dienen, wie insbesondere Namen, Geschlecht, Geburtsdatum, Geburtsort, Staatsangehörigkeit und Anschrift,</w:t>
      </w:r>
    </w:p>
    <w:p>
      <w:pPr>
        <w:ind w:left="420"/>
      </w:pPr>
      <w:r>
        <w:t xml:space="preserve">2. andere zur Identifizierung geeignete Merkmale nach § 18 Absatz 2 Nummer 1 Buchstabe b, wie insbesondere Lichtbilder und Personenbeschreibungen,</w:t>
      </w:r>
    </w:p>
    <w:p>
      <w:pPr>
        <w:ind w:left="420"/>
      </w:pPr>
      <w:r>
        <w:t xml:space="preserve">3. weitere personenbezogene Daten nach § 18 Absatz 2 Nummer 2 und 3,</w:t>
      </w:r>
    </w:p>
    <w:p>
      <w:pPr>
        <w:ind w:left="420"/>
      </w:pPr>
      <w:r>
        <w:t xml:space="preserve">4. bei der Durchführung erkennungsdienstlicher Maßnahmen erhobene personenbezogene Daten, die nach § 16 Absatz 5 weiterverarbeitet werden können,</w:t>
      </w:r>
    </w:p>
    <w:p>
      <w:pPr>
        <w:ind w:left="420"/>
      </w:pPr>
      <w:r>
        <w:t xml:space="preserve">5. personenbezogene Daten zur Fahndung und polizeilichen Beobachtung, Ermittlungsanfrage sowie gezielten Kontrolle,</w:t>
      </w:r>
    </w:p>
    <w:p>
      <w:pPr>
        <w:ind w:left="420"/>
      </w:pPr>
      <w:r>
        <w:t xml:space="preserve">6. personenbezogene Daten zum Zwecke des Nachweises von Personen, die einer richterlich angeordneten Freiheitsentziehung unterliegen und</w:t>
      </w:r>
    </w:p>
    <w:p>
      <w:pPr>
        <w:ind w:left="420"/>
      </w:pPr>
      <w:r>
        <w:t xml:space="preserve">7. personenbezogene Daten von Vermissten, unbekannten Personen und unbekannten Toten.</w:t>
      </w:r>
    </w:p>
    <w:p>
      <w:r>
        <w:rPr>
          <w:color w:val="555555"/>
          <w:sz w:val="17"/>
        </w:rPr>
        <w:t xml:space="preserve">Zitiervorschlag: § 20 BKAG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https://recht.nulegal.eu/gesetze/BKAG%202018/20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