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BKAG 2018 — Daten zu anderen Personen</w:t>
      </w:r>
    </w:p>
    <w:p>
      <w:r>
        <w:rPr>
          <w:color w:val="555555"/>
          <w:sz w:val="18"/>
        </w:rPr>
        <w:t xml:space="preserve">Bundeskriminalamtgesetz</w:t>
      </w:r>
    </w:p>
    <w:p>
      <w:r>
        <w:rPr>
          <w:color w:val="555555"/>
          <w:sz w:val="18"/>
        </w:rPr>
        <w:t xml:space="preserve">Stand: 10.06.2019 (konsolidierte Textfassung, kein amtliches Inkrafttretensdatum)</w:t>
      </w:r>
    </w:p>
    <w:p>
      <w:r>
        <w:t xml:space="preserve">(1) Soweit dies zur Verhütung oder zur Vorsorge für die künftige Verfolgung einer Straftat mit erheblicher Bedeutung erforderlich ist, kann das Bundeskriminalamt zur Erfüllung seiner Aufgaben nach § 2 Absatz 1 bis 3 personenbezogene Daten von Personen weiterverarbeiten, bei denen tatsächliche Anhaltspunkte dafür vorliegen, dass</w:t>
      </w:r>
    </w:p>
    <w:p>
      <w:pPr>
        <w:ind w:left="420"/>
      </w:pPr>
      <w:r>
        <w:t xml:space="preserve">1. sie bei einer künftigen Strafverfolgung als Zeugen in Betracht kommen,</w:t>
      </w:r>
    </w:p>
    <w:p>
      <w:pPr>
        <w:ind w:left="420"/>
      </w:pPr>
      <w:r>
        <w:t xml:space="preserve">2. sie als Opfer einer künftigen Straftat in Betracht kommen,</w:t>
      </w:r>
    </w:p>
    <w:p>
      <w:pPr>
        <w:ind w:left="420"/>
      </w:pPr>
      <w:r>
        <w:t xml:space="preserve">3. sie mit in § 18 Absatz 1 Nummer 1 bis 3 bezeichneten Personen nicht nur flüchtig oder in zufälligem Kontakt und in einer Weise in Verbindung stehen, die erwarten lässt, dass Hinweise für die Verfolgung oder vorbeugende Bekämpfung dieser Straftaten gewonnen werden können, weil Tatsachen die Annahme rechtfertigen, dass die Personen von der Planung oder der Vorbereitung der Straftaten oder der Verwertung der Tatvorteile Kenntnis haben oder daran mitwirken, oder</w:t>
      </w:r>
    </w:p>
    <w:p>
      <w:pPr>
        <w:ind w:left="420"/>
      </w:pPr>
      <w:r>
        <w:t xml:space="preserve">4. es sich um Hinweisgeber und sonstige Auskunftspersonen handelt.</w:t>
      </w:r>
    </w:p>
    <w:p>
      <w:r>
        <w:t xml:space="preserve">Die Weiterverarbeitung nach Satz 1 ist zu beschränken auf die in § 18 Absatz 2 Nummer 1 Buchstabe a bis c bezeichneten Daten sowie auf die Angabe, in welcher Eigenschaft der Person und in Bezug auf welchen Sachverhalt die Speicherung der Daten erfolgt. Personenbezogene Daten über Personen nach Satz 1 Nummer 1, 2 und 4 dürfen nur mit Einwilligung der betroffenen Person gespeichert werden. Die Einwilligung ist nicht erforderlich, wenn das Bekanntwerden der Speicherungsabsicht den mit der Speicherung verfolgten Zweck gefährden würde.</w:t>
      </w:r>
    </w:p>
    <w:p>
      <w:r>
        <w:t xml:space="preserve">(2) Das Bundeskriminalamt kann personenbezogene Daten weiterverarbeiten von Vermissten, unbekannten Personen und unbekannten Toten</w:t>
      </w:r>
    </w:p>
    <w:p>
      <w:pPr>
        <w:ind w:left="420"/>
      </w:pPr>
      <w:r>
        <w:t xml:space="preserve">1. zu Zwecken der Identifizierung,</w:t>
      </w:r>
    </w:p>
    <w:p>
      <w:pPr>
        <w:ind w:left="420"/>
      </w:pPr>
      <w:r>
        <w:t xml:space="preserve">2. zur Abwehr einer erheblichen Gefahr für die genannten Personen.</w:t>
      </w:r>
    </w:p>
    <w:p>
      <w:r>
        <w:t xml:space="preserve">Entsprechendes gilt, soweit es sonst zur Erfüllung seiner Aufgaben erforderlich ist, weil tatsächliche Anhaltspunkte dafür vorliegen, dass es sich um Täter, Opfer oder Zeugen im Zusammenhang mit einer Straftat handelt.</w:t>
      </w:r>
    </w:p>
    <w:p>
      <w:r>
        <w:t xml:space="preserve">(3) Das Bundeskriminalamt kann personenbezogene Daten weiterverarbeiten, um festzustellen, ob die betreffenden Personen die Voraussetzungen nach Absatz 1 oder Absatz 2 erfüllen. Die Daten dürfen ausschließlich zu diesem Zweck weiterverarbeitet werden und sind im Informationssystem gesondert zu speichern. Die Daten sind nach Abschluss der Prüfung, spätestens jedoch nach zwölf Monaten zu löschen, soweit nicht festgestellt wurde, dass die betreffende Person die Voraussetzungen nach Absatz 1 oder Absatz 2 erfüllt.</w:t>
      </w:r>
    </w:p>
    <w:p>
      <w:r>
        <w:rPr>
          <w:color w:val="555555"/>
          <w:sz w:val="17"/>
        </w:rPr>
        <w:t xml:space="preserve">Zitiervorschlag: § 19 BKAG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https://recht.nulegal.eu/gesetze/BKAG%202018/19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