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BKAG 2018 — Kennzeichnung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Speicherung im Informationssystem sind personenbezogene Daten wie folgt zu kennzeichnen:</w:t>
      </w:r>
    </w:p>
    <w:p>
      <w:pPr>
        <w:ind w:left="420"/>
      </w:pPr>
      <w:r>
        <w:t xml:space="preserve">1. Angabe des Mittels der Erhebung der Daten einschließlich der Angabe, ob die Daten offen oder verdeckt erhoben wurden,</w:t>
      </w:r>
    </w:p>
    <w:p>
      <w:pPr>
        <w:ind w:left="420"/>
      </w:pPr>
      <w:r>
        <w:t xml:space="preserve">2. Angabe der Kategorie nach den §§ 18 und 19 bei Personen, zu denen Grunddaten angelegt wurden,</w:t>
      </w:r>
    </w:p>
    <w:p>
      <w:pPr>
        <w:ind w:left="420"/>
      </w:pPr>
      <w:r>
        <w:t xml:space="preserve">3. Angabe der</w:t>
      </w:r>
    </w:p>
    <w:p>
      <w:pPr>
        <w:ind w:left="780"/>
      </w:pPr>
      <w:r>
        <w:t xml:space="preserve">a) Rechtsgüter, deren Schutz die Erhebung dient oder</w:t>
      </w:r>
    </w:p>
    <w:p>
      <w:pPr>
        <w:ind w:left="780"/>
      </w:pPr>
      <w:r>
        <w:t xml:space="preserve">b) Straftaten, deren Verfolgung oder Verhütung die Erhebung dient,</w:t>
      </w:r>
    </w:p>
    <w:p>
      <w:pPr>
        <w:ind w:left="420"/>
      </w:pPr>
      <w:r>
        <w:t xml:space="preserve">4. Angabe der Stelle, die sie erhoben hat, sofern nicht das Bundeskriminalamt die Daten erhoben hat.</w:t>
      </w:r>
    </w:p>
    <w:p>
      <w:r>
        <w:t xml:space="preserve">Die Kennzeichnung nach Satz 1 Nummer 1 kann auch durch Angabe der Rechtsgrundlage der jeweiligen Mittel der Datenerhebung ergänzt werden.</w:t>
      </w:r>
    </w:p>
    <w:p>
      <w:r>
        <w:t xml:space="preserve">(2) Personenbezogene Daten, die nicht entsprechend den Anforderungen des Absatzes 1 gekennzeichnet sind, dürfen so lange nicht weiterverarbeitet oder übermittelt werden, bis eine Kennzeichnung entsprechend den Anforderungen des Absatzes 1 erfolgt ist.</w:t>
      </w:r>
    </w:p>
    <w:p>
      <w:r>
        <w:t xml:space="preserve">(3) Nach einer Übermittlung an eine andere Stelle ist die Kennzeichnung nach Absatz 1 durch diese Stelle aufrechtzuerhalten.</w:t>
      </w:r>
    </w:p>
    <w:p>
      <w:r>
        <w:rPr>
          <w:color w:val="555555"/>
          <w:sz w:val="17"/>
        </w:rPr>
        <w:t xml:space="preserve">Zitiervorschlag: § 14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BKAG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