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BKAG 2018 — Aufzeichnung eingehender Telefonanrufe</w:t>
      </w:r>
    </w:p>
    <w:p>
      <w:r>
        <w:rPr>
          <w:color w:val="555555"/>
          <w:sz w:val="18"/>
        </w:rPr>
        <w:t xml:space="preserve">Bundeskriminalamtgesetz</w:t>
      </w:r>
    </w:p>
    <w:p>
      <w:r>
        <w:rPr>
          <w:color w:val="555555"/>
          <w:sz w:val="18"/>
        </w:rPr>
        <w:t xml:space="preserve">Stand: 10.06.2019 (konsolidierte Textfassung, kein amtliches Inkrafttretensdatum)</w:t>
      </w:r>
    </w:p>
    <w:p>
      <w:r>
        <w:t xml:space="preserve">Das Bundeskriminalamt kann Telefonanrufe aufzeichnen, die über Rufnummern eingehen, die der Öffentlichkeit bekannt gegeben wurden</w:t>
      </w:r>
    </w:p>
    <w:p>
      <w:pPr>
        <w:ind w:left="420"/>
      </w:pPr>
      <w:r>
        <w:t xml:space="preserve">1. für die Entgegennahme sachdienlicher Hinweise im Zusammenhang mit der Erfüllung der Aufgaben nach den §§ 4 bis 8 oder</w:t>
      </w:r>
    </w:p>
    <w:p>
      <w:pPr>
        <w:ind w:left="420"/>
      </w:pPr>
      <w:r>
        <w:t xml:space="preserve">2. im Hinblick auf ein bestimmtes Ereignis,</w:t>
      </w:r>
    </w:p>
    <w:p>
      <w:r>
        <w:t xml:space="preserve">soweit dies zur Erfüllung seiner Aufgaben erforderlich ist. Die Aufzeichnungen sind sofort und spurenlos zu löschen, sobald sie nicht mehr zur Aufgabenerfüllung erforderlich sind, spätestens jedoch nach 30 Tagen, es sei denn, sie werden im Einzelfall zur Erfüllung der Aufgaben nach den §§ 4 bis 6 benötigt.</w:t>
      </w:r>
    </w:p>
    <w:p>
      <w:r>
        <w:rPr>
          <w:color w:val="555555"/>
          <w:sz w:val="17"/>
        </w:rPr>
        <w:t xml:space="preserve">Zitiervorschlag: § 11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