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BKADV — Personenbezogene Daten zum Zwecke des Nachweises von Personen, die einer richterlich angeordneten Freiheitsentziehung unterliegen</w:t>
      </w:r>
    </w:p>
    <w:p>
      <w:r>
        <w:rPr>
          <w:color w:val="555555"/>
          <w:sz w:val="18"/>
        </w:rPr>
        <w:t xml:space="preserve">BKA-Daten-Verordnung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Personenbezogene Daten zum Zwecke des Nachweises von Personen, die wegen des Verdachts oder des Nachweises einer rechtswidrigen Tat, einer richterlich angeordneten Freiheitsentziehung unterliegen, im Sinne des § 9 Absatz 2 des Bundeskriminalamtgesetzes sind</w:t>
      </w:r>
    </w:p>
    <w:p>
      <w:pPr>
        <w:ind w:left="420"/>
      </w:pPr>
      <w:r>
        <w:t xml:space="preserve">1. die in § 1 genannten Daten,</w:t>
      </w:r>
    </w:p>
    <w:p>
      <w:pPr>
        <w:ind w:left="420"/>
      </w:pPr>
      <w:r>
        <w:t xml:space="preserve">2. die in § 8 Absatz 1 Nummer 2 bis 4 des Bundeskriminalamtgesetzes genannten Daten,</w:t>
      </w:r>
    </w:p>
    <w:p>
      <w:pPr>
        <w:ind w:left="420"/>
      </w:pPr>
      <w:r>
        <w:t xml:space="preserve">3. zusätzliche Personeninformationen wie vorhandene Kenntnisse oder Fähigkeiten der in § 2 Absatz 1 Nummer 2 genannten Art und</w:t>
      </w:r>
    </w:p>
    <w:p>
      <w:pPr>
        <w:ind w:left="420"/>
      </w:pPr>
      <w:r>
        <w:t xml:space="preserve">4. Angaben zur Haftnotierung wie Art und Anlass der Freiheitsentziehung, Einweisungsbehörde, Haftanstalt, Beginn und Ende der Haft.</w:t>
      </w:r>
    </w:p>
    <w:p>
      <w:r>
        <w:rPr>
          <w:color w:val="555555"/>
          <w:sz w:val="17"/>
        </w:rPr>
        <w:t xml:space="preserve">Zitiervorschlag: § 7 BKADV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https://recht.nulegal.eu/gesetze/BKADV/7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