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BKADV — Personenbezogene Daten zur Fahndung und polizeilichen Beobachtung</w:t>
      </w:r>
    </w:p>
    <w:p>
      <w:r>
        <w:rPr>
          <w:color w:val="555555"/>
          <w:sz w:val="18"/>
        </w:rPr>
        <w:t xml:space="preserve">BKA-Daten-Verordnung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Personenbezogene Daten zur Fahndung und polizeilichen Beobachtung im Sinne des § 9 Absatz 1 des Bundeskriminalamtgesetzes sind</w:t>
      </w:r>
    </w:p>
    <w:p>
      <w:pPr>
        <w:ind w:left="420"/>
      </w:pPr>
      <w:r>
        <w:t xml:space="preserve">1. die in § 1 genannten Daten,</w:t>
      </w:r>
    </w:p>
    <w:p>
      <w:pPr>
        <w:ind w:left="420"/>
      </w:pPr>
      <w:r>
        <w:t xml:space="preserve">2. die in § 8 Absatz 1 Nummer 2 bis 4 des Bundeskriminalamtgesetzes genannten Daten,</w:t>
      </w:r>
    </w:p>
    <w:p>
      <w:pPr>
        <w:ind w:left="420"/>
      </w:pPr>
      <w:r>
        <w:t xml:space="preserve">3. die in § 2 Absatz 1 Nummer 15 und 16 genannten Daten,</w:t>
      </w:r>
    </w:p>
    <w:p>
      <w:pPr>
        <w:ind w:left="420"/>
      </w:pPr>
      <w:r>
        <w:t xml:space="preserve">4. zusätzliche Personeninformationen wie spezielle Kenntnisse oder Fähigkeiten,</w:t>
      </w:r>
    </w:p>
    <w:p>
      <w:pPr>
        <w:ind w:left="420"/>
      </w:pPr>
      <w:r>
        <w:t xml:space="preserve">5. Angaben zur Fahndungsnotierung wie Ausschreibungsbehörde, sachbearbeitende Dienststelle, Anlass und Zweck der Ausschreibung, Eingabedatum, Löschungstermin bei Fristablauf, Fahndungsregion,</w:t>
      </w:r>
    </w:p>
    <w:p>
      <w:pPr>
        <w:ind w:left="420"/>
      </w:pPr>
      <w:r>
        <w:t xml:space="preserve">6. digitalisierte Dokumente wie Haftbefehle, Ausweisungsverfügungen,</w:t>
      </w:r>
    </w:p>
    <w:p>
      <w:pPr>
        <w:ind w:left="420"/>
      </w:pPr>
      <w:r>
        <w:t xml:space="preserve">7. das amtliche Kennzeichen eines Kraftfahrzeugs, die Identifizierungsnummer oder äußere Kennzeichnung eines Wasserfahrzeugs, Luftfahrzeugs oder eines Containers.</w:t>
      </w:r>
    </w:p>
    <w:p>
      <w:r>
        <w:t xml:space="preserve">(2) Die Daten gemäß Absatz 1 dürfen sich beziehen auf</w:t>
      </w:r>
    </w:p>
    <w:p>
      <w:pPr>
        <w:ind w:left="420"/>
      </w:pPr>
      <w:r>
        <w:t xml:space="preserve">1. Personen, nach denen zum Zwecke der Strafverfolgung, der Strafvollstreckung, jeweils einschließlich der internationalen Rechtshilfe hierfür nach § 15 des Bundeskriminalamtgesetzes, und des Strafvollzugs gefahndet wird insbesondere zur</w:t>
      </w:r>
    </w:p>
    <w:p>
      <w:pPr>
        <w:ind w:left="780"/>
      </w:pPr>
      <w:r>
        <w:t xml:space="preserve">a) Festnahme,</w:t>
      </w:r>
    </w:p>
    <w:p>
      <w:pPr>
        <w:ind w:left="780"/>
      </w:pPr>
      <w:r>
        <w:t xml:space="preserve">b) Aufenthaltsermittlung,</w:t>
      </w:r>
    </w:p>
    <w:p>
      <w:pPr>
        <w:ind w:left="780"/>
      </w:pPr>
      <w:r>
        <w:t xml:space="preserve">c) Feststellung der Identität,</w:t>
      </w:r>
    </w:p>
    <w:p>
      <w:pPr>
        <w:ind w:left="780"/>
      </w:pPr>
      <w:r>
        <w:t xml:space="preserve">d) Durchführung von erkennungsdienstlichen Maßnahmen,</w:t>
      </w:r>
    </w:p>
    <w:p>
      <w:pPr>
        <w:ind w:left="780"/>
      </w:pPr>
      <w:r>
        <w:t xml:space="preserve">e) Durchführung von DNA-Probeentnahmen,</w:t>
      </w:r>
    </w:p>
    <w:p>
      <w:pPr>
        <w:ind w:left="780"/>
      </w:pPr>
      <w:r>
        <w:t xml:space="preserve">f) Sicherstellung von Führerscheinen und</w:t>
      </w:r>
    </w:p>
    <w:p>
      <w:pPr>
        <w:ind w:left="780"/>
      </w:pPr>
      <w:r>
        <w:t xml:space="preserve">g) Durchsetzung eines Fahrverbots,</w:t>
      </w:r>
    </w:p>
    <w:p>
      <w:pPr>
        <w:ind w:left="420"/>
      </w:pPr>
      <w:r>
        <w:t xml:space="preserve">2. Personen, nach denen zum Zwecke der Abwehr erheblicher Gefahren gefahndet wird insbesondere zur</w:t>
      </w:r>
    </w:p>
    <w:p>
      <w:pPr>
        <w:ind w:left="780"/>
      </w:pPr>
      <w:r>
        <w:t xml:space="preserve">a) Ingewahrsamnahme,</w:t>
      </w:r>
    </w:p>
    <w:p>
      <w:pPr>
        <w:ind w:left="780"/>
      </w:pPr>
      <w:r>
        <w:t xml:space="preserve">b) Aufenthaltsermittlung,</w:t>
      </w:r>
    </w:p>
    <w:p>
      <w:pPr>
        <w:ind w:left="780"/>
      </w:pPr>
      <w:r>
        <w:t xml:space="preserve">c) Kontrolle, soweit nach Polizeirecht zulässig,</w:t>
      </w:r>
    </w:p>
    <w:p>
      <w:pPr>
        <w:ind w:left="780"/>
      </w:pPr>
      <w:r>
        <w:t xml:space="preserve">d) Durchführung erkennungsdienstlicher Maßnahmen und</w:t>
      </w:r>
    </w:p>
    <w:p>
      <w:pPr>
        <w:ind w:left="780"/>
      </w:pPr>
      <w:r>
        <w:t xml:space="preserve">e) Durchführung von DNA-Probeentnahmen,</w:t>
      </w:r>
    </w:p>
    <w:p>
      <w:pPr>
        <w:ind w:left="420"/>
      </w:pPr>
      <w:r>
        <w:t xml:space="preserve">3. Personen, nach denen zum Zwecke der Durchführung aufenthaltsbeendender oder einreiseverhindernder Maßnahmen gefahndet wird insbesondere zur</w:t>
      </w:r>
    </w:p>
    <w:p>
      <w:pPr>
        <w:ind w:left="780"/>
      </w:pPr>
      <w:r>
        <w:t xml:space="preserve">a) Festnahme,</w:t>
      </w:r>
    </w:p>
    <w:p>
      <w:pPr>
        <w:ind w:left="780"/>
      </w:pPr>
      <w:r>
        <w:t xml:space="preserve">b) Aufenthaltsermittlung,</w:t>
      </w:r>
    </w:p>
    <w:p>
      <w:pPr>
        <w:ind w:left="780"/>
      </w:pPr>
      <w:r>
        <w:t xml:space="preserve">c) Einreiseverweigerung,</w:t>
      </w:r>
    </w:p>
    <w:p>
      <w:pPr>
        <w:ind w:left="780"/>
      </w:pPr>
      <w:r>
        <w:t xml:space="preserve">d) Zurückschiebung sowie zur</w:t>
      </w:r>
    </w:p>
    <w:p>
      <w:pPr>
        <w:ind w:left="780"/>
      </w:pPr>
      <w:r>
        <w:t xml:space="preserve">e) Prüfung ausländerrechtlicher Maßnahmen, und</w:t>
      </w:r>
    </w:p>
    <w:p>
      <w:pPr>
        <w:ind w:left="420"/>
      </w:pPr>
      <w:r>
        <w:t xml:space="preserve">4. Personen, die zur polizeilichen Beobachtung ausgeschrieben sind.</w:t>
      </w:r>
    </w:p>
    <w:p>
      <w:r>
        <w:t xml:space="preserve">(3) Die Daten gemäß Absatz 1 Nummer 1 und 2 dürfen sich im Zusammenhang mit zur Fahndung oder zur polizeilichen Beobachtung ausgeschriebenen Sachen auch beziehen auf</w:t>
      </w:r>
    </w:p>
    <w:p>
      <w:pPr>
        <w:ind w:left="420"/>
      </w:pPr>
      <w:r>
        <w:t xml:space="preserve">1. Eigentümer,</w:t>
      </w:r>
    </w:p>
    <w:p>
      <w:pPr>
        <w:ind w:left="420"/>
      </w:pPr>
      <w:r>
        <w:t xml:space="preserve">2. Besitzer,</w:t>
      </w:r>
    </w:p>
    <w:p>
      <w:pPr>
        <w:ind w:left="420"/>
      </w:pPr>
      <w:r>
        <w:t xml:space="preserve">3. Geschädigte und</w:t>
      </w:r>
    </w:p>
    <w:p>
      <w:pPr>
        <w:ind w:left="420"/>
      </w:pPr>
      <w:r>
        <w:t xml:space="preserve">4. andere Personen, die in einer Beziehung zur ausgeschriebenen Sache stehen, wie Leasingnehmer.</w:t>
      </w:r>
    </w:p>
    <w:p>
      <w:r>
        <w:rPr>
          <w:color w:val="555555"/>
          <w:sz w:val="17"/>
        </w:rPr>
        <w:t xml:space="preserve">Zitiervorschlag: § 6 BKADV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