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BKADV — Personenbezogene Daten im Sinne des § 8 Absatz 4 Satz 2 des Bundeskriminalamtgesetzes</w:t>
      </w:r>
    </w:p>
    <w:p>
      <w:r>
        <w:rPr>
          <w:color w:val="555555"/>
          <w:sz w:val="18"/>
        </w:rPr>
        <w:t xml:space="preserve">BKA-Daten-Verordnung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Personenbezogene Daten im Sinne des § 8 Absatz 4 Satz 2 des Bundeskriminalamtgesetzes sind die in § 1 Absatz 1 Nummer 1 bis 3, 7, 9, 10, 13, 14, 18, 19 und 20 genannten, der Kontaktaufnahme dienenden Daten sowie die Telefon- und Telefaxnummer.</w:t>
      </w:r>
    </w:p>
    <w:p>
      <w:r>
        <w:rPr>
          <w:color w:val="555555"/>
          <w:sz w:val="17"/>
        </w:rPr>
        <w:t xml:space="preserve">Zitiervorschlag: § 3 BKADV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