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BKADV — Weitere personenbezogene Daten von Beschuldigten und personenbezogene Daten von Personen, die einer Straftat verdächtig sind</w:t>
      </w:r>
    </w:p>
    <w:p>
      <w:r>
        <w:rPr>
          <w:color w:val="555555"/>
          <w:sz w:val="18"/>
        </w:rPr>
        <w:t xml:space="preserve">BKA-Daten-Verordnung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Weitere personenbezogene Daten von Beschuldigten im Sinne des § 8 Absatz 2 des Bundeskriminalamtgesetzes sind</w:t>
      </w:r>
    </w:p>
    <w:p>
      <w:pPr>
        <w:ind w:left="420"/>
      </w:pPr>
      <w:r>
        <w:t xml:space="preserve">1. Aufenthaltsstatus und Aufenthaltsanlass,</w:t>
      </w:r>
    </w:p>
    <w:p>
      <w:pPr>
        <w:ind w:left="420"/>
      </w:pPr>
      <w:r>
        <w:t xml:space="preserve">2. Angaben zu vorhandenen Kenntnissen und Fähigkeiten wie Sprachkenntnisse, Fertigkeiten in der Herstellung oder im Umgang mit Sprengstoffen und Waffen,</w:t>
      </w:r>
    </w:p>
    <w:p>
      <w:pPr>
        <w:ind w:left="420"/>
      </w:pPr>
      <w:r>
        <w:t xml:space="preserve">3. Angaben zu verwendeten Kommunikationsmitteln wie Telefon (Festnetzanschluss oder Mobiltelefon), Telefax, E-Mail-Adresse, vom Beschuldigten betriebene Internetadresse, statische Internetprotokolladresse, dynamische Internetprotokolladresse und zugehöriger Zeitstempel sowie Diensteanbieter,</w:t>
      </w:r>
    </w:p>
    <w:p>
      <w:pPr>
        <w:ind w:left="420"/>
      </w:pPr>
      <w:r>
        <w:t xml:space="preserve">4. Angaben zu verwendeten Fahrzeugen und sonstigen Verkehrsmitteln wie Luftfahrzeuge, Wasserfahrzeuge, einschließlich der Registrierdaten zur Identifizierung dieser Verkehrsmittel,</w:t>
      </w:r>
    </w:p>
    <w:p>
      <w:pPr>
        <w:ind w:left="420"/>
      </w:pPr>
      <w:r>
        <w:t xml:space="preserve">5. Angaben zu Identitätsdokumenten und anderen Urkunden, die im Zusammenhang mit einer Straftat stehen und der betroffenen Person zuzurechnen sind, wie die Nummer der Zulassungsbescheinigungen Teil I und Teil II eines Kraftfahrzeugs,</w:t>
      </w:r>
    </w:p>
    <w:p>
      <w:pPr>
        <w:ind w:left="420"/>
      </w:pPr>
      <w:r>
        <w:t xml:space="preserve">6. Angaben zu Konten,</w:t>
      </w:r>
    </w:p>
    <w:p>
      <w:pPr>
        <w:ind w:left="420"/>
      </w:pPr>
      <w:r>
        <w:t xml:space="preserve">7. Angaben zu Finanztransaktionen,</w:t>
      </w:r>
    </w:p>
    <w:p>
      <w:pPr>
        <w:ind w:left="420"/>
      </w:pPr>
      <w:r>
        <w:t xml:space="preserve">8. Angaben zu Zahlungsmitteln,</w:t>
      </w:r>
    </w:p>
    <w:p>
      <w:pPr>
        <w:ind w:left="420"/>
      </w:pPr>
      <w:r>
        <w:t xml:space="preserve">9. Angaben zu Vermögenswerten,</w:t>
      </w:r>
    </w:p>
    <w:p>
      <w:pPr>
        <w:ind w:left="420"/>
      </w:pPr>
      <w:r>
        <w:t xml:space="preserve">10. Angaben zu Sachen, die Gegenstand oder Mittel der Straftat waren, wie Waffen, Betäubungsmittel, Falschgeld, Publikationen,</w:t>
      </w:r>
    </w:p>
    <w:p>
      <w:pPr>
        <w:ind w:left="420"/>
      </w:pPr>
      <w:r>
        <w:t xml:space="preserve">11. Angaben zu Art und konkreten Umständen der Tatbegehung wie</w:t>
      </w:r>
    </w:p>
    <w:p>
      <w:pPr>
        <w:ind w:left="780"/>
      </w:pPr>
      <w:r>
        <w:t xml:space="preserve">a) neben den in § 8 Absatz 1 Nummer 4 des Bundeskriminalamtgesetzes genannten Daten die Bezeichnung eventueller Ordnungswidrigkeiten einschließlich der Angabe, ob diese versucht oder vollendet wurden,</w:t>
      </w:r>
    </w:p>
    <w:p>
      <w:pPr>
        <w:ind w:left="780"/>
      </w:pPr>
      <w:r>
        <w:t xml:space="preserve">b) Sachverhalt, neben den in § 8 Absatz 1 Nummer 3 des Bundeskriminalamtgesetzes genannten Daten insbesondere Angaben zu Tatörtlichkeit, Tatmittel, erlangtem oder erstrebtem Gut und Beteiligten,</w:t>
      </w:r>
    </w:p>
    <w:p>
      <w:pPr>
        <w:ind w:left="780"/>
      </w:pPr>
      <w:r>
        <w:t xml:space="preserve">c) Modus Operandi und Tatbegehungsweise,</w:t>
      </w:r>
    </w:p>
    <w:p>
      <w:pPr>
        <w:ind w:left="780"/>
      </w:pPr>
      <w:r>
        <w:t xml:space="preserve">d) Spuren des Beschuldigten,</w:t>
      </w:r>
    </w:p>
    <w:p>
      <w:pPr>
        <w:ind w:left="780"/>
      </w:pPr>
      <w:r>
        <w:t xml:space="preserve">e) Angaben zum Opfertyp,</w:t>
      </w:r>
    </w:p>
    <w:p>
      <w:pPr>
        <w:ind w:left="780"/>
      </w:pPr>
      <w:r>
        <w:t xml:space="preserve">f) Ausgang des Verfahrens einschließlich etwaiger Nebenfolgen, Maßregeln der Besserung und Sicherung oder Entscheidungen über die Einziehung,</w:t>
      </w:r>
    </w:p>
    <w:p>
      <w:pPr>
        <w:ind w:left="420"/>
      </w:pPr>
      <w:r>
        <w:t xml:space="preserve">12. Zugehörigkeit oder sonstige Beziehung zu einer kriminellen Organisation/Tätergruppe mit Angabe des Namens und Sitzes der Gruppe und Rolle innerhalb der Organisation/Gruppe,</w:t>
      </w:r>
    </w:p>
    <w:p>
      <w:pPr>
        <w:ind w:left="420"/>
      </w:pPr>
      <w:r>
        <w:t xml:space="preserve">13. Beziehungen zu Personen, Gruppenzugehörigkeit,</w:t>
      </w:r>
    </w:p>
    <w:p>
      <w:pPr>
        <w:ind w:left="420"/>
      </w:pPr>
      <w:r>
        <w:t xml:space="preserve">14. Beziehungen zu Institutionen, Örtlichkeiten, Ereignissen und Sachen,</w:t>
      </w:r>
    </w:p>
    <w:p>
      <w:pPr>
        <w:ind w:left="420"/>
      </w:pPr>
      <w:r>
        <w:t xml:space="preserve">15. personengebundene Hinweise gemäß § 7 Absatz 3 des Bundeskriminalamtgesetzes, die dem Schutz des Betroffenen dienen wie „Freitodgefahr“ oder die der Eigensicherung der ermittelnden Bediensteten dienen wie „bewaffnet“, „gewalttätig“, „Explosivstoffgefahr“,</w:t>
      </w:r>
    </w:p>
    <w:p>
      <w:pPr>
        <w:ind w:left="420"/>
      </w:pPr>
      <w:r>
        <w:t xml:space="preserve">16. personengebundene Hinweise, die der Ermittlungsunterstützung dienen wie „Sexualstraftäter“, „Straftäter politisch links motiviert“ oder „Straftäter politisch rechts motiviert“,</w:t>
      </w:r>
    </w:p>
    <w:p>
      <w:pPr>
        <w:ind w:left="420"/>
      </w:pPr>
      <w:r>
        <w:t xml:space="preserve">17. Angaben zur Religionszugehörigkeit, soweit diese im Einzelfall zur Aufklärung oder Bekämpfung des Terrorismus erforderlich sind,</w:t>
      </w:r>
    </w:p>
    <w:p>
      <w:pPr>
        <w:ind w:left="420"/>
      </w:pPr>
      <w:r>
        <w:t xml:space="preserve">18. Angaben zu einer gegenwärtigen oder früheren Tätigkeit in</w:t>
      </w:r>
    </w:p>
    <w:p>
      <w:pPr>
        <w:ind w:left="780"/>
      </w:pPr>
      <w:r>
        <w:t xml:space="preserve">a) einer lebenswichtigen Einrichtung im Sinne des § 1 Absatz 5 des Sicherheitsüberprüfungsgesetzes,</w:t>
      </w:r>
    </w:p>
    <w:p>
      <w:pPr>
        <w:ind w:left="780"/>
      </w:pPr>
      <w:r>
        <w:t xml:space="preserve">b) einer Verkehrs- oder Versorgungsanlage,</w:t>
      </w:r>
    </w:p>
    <w:p>
      <w:pPr>
        <w:ind w:left="780"/>
      </w:pPr>
      <w:r>
        <w:t xml:space="preserve">c) einer Verkehrs- oder Versorgungseinrichtung,</w:t>
      </w:r>
    </w:p>
    <w:p>
      <w:pPr>
        <w:ind w:left="780"/>
      </w:pPr>
      <w:r>
        <w:t xml:space="preserve">d) einem öffentlichen Verkehrsmittel oder</w:t>
      </w:r>
    </w:p>
    <w:p>
      <w:pPr>
        <w:ind w:left="780"/>
      </w:pPr>
      <w:r>
        <w:t xml:space="preserve">e) einem Amtsgebäude,</w:t>
      </w:r>
    </w:p>
    <w:p>
      <w:pPr>
        <w:ind w:left="420"/>
      </w:pPr>
      <w:r>
        <w:t xml:space="preserve">19. Vorgangsdaten wie</w:t>
      </w:r>
    </w:p>
    <w:p>
      <w:pPr>
        <w:ind w:left="780"/>
      </w:pPr>
      <w:r>
        <w:t xml:space="preserve">a) Erfassungsdatum und Wiedervorlagedatum,</w:t>
      </w:r>
    </w:p>
    <w:p>
      <w:pPr>
        <w:ind w:left="780"/>
      </w:pPr>
      <w:r>
        <w:t xml:space="preserve">b) Bearbeitungsstand und Erledigungsvermerke,</w:t>
      </w:r>
    </w:p>
    <w:p>
      <w:pPr>
        <w:ind w:left="780"/>
      </w:pPr>
      <w:r>
        <w:t xml:space="preserve">c) beteiligte Sachbearbeiter und Dienststellen,</w:t>
      </w:r>
    </w:p>
    <w:p>
      <w:pPr>
        <w:ind w:left="780"/>
      </w:pPr>
      <w:r>
        <w:t xml:space="preserve">d) Querverweise auf andere Vorgänge,</w:t>
      </w:r>
    </w:p>
    <w:p>
      <w:pPr>
        <w:ind w:left="780"/>
      </w:pPr>
      <w:r>
        <w:t xml:space="preserve">e) nach einer Eignungsprüfung durch den Sachbearbeiter gesetzte sogenannte Merker, die die automatisierte Übernahme eines Datensatzes oder von Teilen daraus in andere Dateien ermöglichen, und</w:t>
      </w:r>
    </w:p>
    <w:p>
      <w:pPr>
        <w:ind w:left="780"/>
      </w:pPr>
      <w:r>
        <w:t xml:space="preserve">f) Zusatzinformationen für die automatisierte Übernahme in andere Dateien wie die Rechtsgrundlage, nach der die Anlieferung in die Zieldatei erfolgt,</w:t>
      </w:r>
    </w:p>
    <w:p>
      <w:pPr>
        <w:ind w:left="420"/>
      </w:pPr>
      <w:r>
        <w:t xml:space="preserve">20. Hinweis auf einen Bestand in der DNA-AnalyseDatei,</w:t>
      </w:r>
    </w:p>
    <w:p>
      <w:pPr>
        <w:ind w:left="420"/>
      </w:pPr>
      <w:r>
        <w:t xml:space="preserve">21. Daten zu der Maßnahme, die zu der Speicherung geführt hat, oder zu der durch die Speicherung unterstützten Maßnahme wie deren Anlass, Zweck und Befristung,</w:t>
      </w:r>
    </w:p>
    <w:p>
      <w:pPr>
        <w:ind w:left="420"/>
      </w:pPr>
      <w:r>
        <w:t xml:space="preserve">22. Angaben zu bestehenden Auflagen oder Verboten wie Hausverbot, Kontaktverbot, Meldeauflage, Betretens- und Aufenthaltsverbot, Ausreiseuntersagung, Pass- und Personalausweisbeschränkung,</w:t>
      </w:r>
    </w:p>
    <w:p>
      <w:pPr>
        <w:ind w:left="420"/>
      </w:pPr>
      <w:r>
        <w:t xml:space="preserve">23. Status einer Person nach polizeifachlichen Definitionen wie „Gefährder“ oder „relevante Person“,</w:t>
      </w:r>
    </w:p>
    <w:p>
      <w:pPr>
        <w:ind w:left="420"/>
      </w:pPr>
      <w:r>
        <w:t xml:space="preserve">24. Hinweis auf einen Bestand in anderen Dateien,</w:t>
      </w:r>
    </w:p>
    <w:p>
      <w:pPr>
        <w:ind w:left="420"/>
      </w:pPr>
      <w:r>
        <w:t xml:space="preserve">25. Angabe, ob der Betroffene in dem Verfahren eines Bundeslandes, das zur Speicherung geführt hat, als Beschuldigter geführt wird oder wurde, und</w:t>
      </w:r>
    </w:p>
    <w:p>
      <w:pPr>
        <w:ind w:left="420"/>
      </w:pPr>
      <w:r>
        <w:t xml:space="preserve">26. Hinweis auf vorhandenes Lichtbild beziehungsweise Phantomzeichnung zum Täter.</w:t>
      </w:r>
    </w:p>
    <w:p>
      <w:r>
        <w:t xml:space="preserve">(2) Personenbezogene Daten von Personen, die einer Straftat verdächtig sind, im Sinne des § 8 Absatz 2 des Bundeskriminalamtgesetzes sind</w:t>
      </w:r>
    </w:p>
    <w:p>
      <w:pPr>
        <w:ind w:left="420"/>
      </w:pPr>
      <w:r>
        <w:t xml:space="preserve">1. die in § 1 genannten Daten und</w:t>
      </w:r>
    </w:p>
    <w:p>
      <w:pPr>
        <w:ind w:left="420"/>
      </w:pPr>
      <w:r>
        <w:t xml:space="preserve">2. die in Absatz 1 genannten Daten.</w:t>
      </w:r>
    </w:p>
    <w:p>
      <w:r>
        <w:rPr>
          <w:color w:val="555555"/>
          <w:sz w:val="17"/>
        </w:rPr>
        <w:t xml:space="preserve">Zitiervorschlag: § 2 BKADV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