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BKADV — Speicherung der Daten in sonstigen Dateien der Zentralstelle</w:t>
      </w:r>
    </w:p>
    <w:p>
      <w:r>
        <w:rPr>
          <w:color w:val="555555"/>
          <w:sz w:val="18"/>
        </w:rPr>
        <w:t xml:space="preserve">BKA-Daten-Verordnung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Bundeskriminalamt kann in der nach § 34 des Bundeskriminalamtgesetzes erforderlichen Errichtungsanordnung festlegen, dass Daten gemäß § 6 Absatz 1 Nummer 1 bis 6 in einer Datei, die der Fahndung nach Personen oder der polizeilichen Beobachtung dient, gespeichert werden dürfen. Abweichend von Satz 1 richtet sich für Ausschreibungen nach Artikel 24 der Verordnung (EG) Nr. 1987/2006 des Europäischen Parlaments und des Rates vom 20. Dezember 2006 über die Einrichtung, den Betrieb und die Nutzung des Schengener Informationssystems der zweiten Generation (SIS II) (ABl. L 381 vom 28.12.2006, S. 4) sowie für Ausschreibungen nach Artikel 26, 32, 34, 36 und 38 des Beschlusses 2007/533/JI des Rates vom 12. Juni 2007 über die Einrichtung, den Betrieb und die Nutzung des Schengener Informationssystems der zweiten Generation (SIS II) (ABl. L 205 vom 7.8.2007, S. 63) die Art der Daten, die das Bundeskriminalamt im nationalen Teil des Schengener Informationssystems verarbeiten darf, nach Artikel 20 Absatz 2 und 3 und Artikel 27 des Ratsbeschlusses 2007/533/JI und nach Artikel 20 Absatz 2 der Verordnung (EG) Nr. 1987/2006.</w:t>
      </w:r>
    </w:p>
    <w:p>
      <w:r>
        <w:t xml:space="preserve">(2) Das Bundeskriminalamt kann in der nach § 34 des Bundeskriminalamtgesetzes erforderlichen Errichtungsanordnung festlegen, dass Daten gemäß § 6 Absatz 1 Nummer 7 in einer Datei gespeichert werden dürfen, die der Fahndung nach Sachen oder der polizeilichen Beobachtung dient.</w:t>
      </w:r>
    </w:p>
    <w:p>
      <w:r>
        <w:t xml:space="preserve">(3) Das Bundeskriminalamt kann in der nach § 34 des Bundeskriminalamtgesetzes erforderlichen Errichtungsanordnung festlegen, dass Daten gemäß § 7 in der Haftdatei gespeichert werden dürfen.</w:t>
      </w:r>
    </w:p>
    <w:p>
      <w:r>
        <w:t xml:space="preserve">(4) Das Bundeskriminalamt kann in der nach § 34 des Bundeskriminalamtgesetzes erforderlichen Errichtungsanordnung festlegen, dass Daten gemäß § 8 in einer Datei gemäß § 9 Absatz 2 Nummer 3 gespeichert werden dürfen.</w:t>
      </w:r>
    </w:p>
    <w:p>
      <w:r>
        <w:rPr>
          <w:color w:val="555555"/>
          <w:sz w:val="17"/>
        </w:rPr>
        <w:t xml:space="preserve">Zitiervorschlag: § 11 BKADV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https://recht.nulegal.eu/gesetze/BKADV/11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