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BKADV — Speicherung der Daten in den Dateien der Zentralstelle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kann in der nach § 34 des Bundeskriminalamtgesetzes erforderlichen Errichtungsanordnung festlegen, dass die folgenden Daten in einer Datei nach § 9 Absatz 1 gespeichert werden dürfen:</w:t>
      </w:r>
    </w:p>
    <w:p>
      <w:pPr>
        <w:ind w:left="420"/>
      </w:pPr>
      <w:r>
        <w:t xml:space="preserve">1. Personendaten von Beschuldigten nach § 1 Absatz 1,</w:t>
      </w:r>
    </w:p>
    <w:p>
      <w:pPr>
        <w:ind w:left="420"/>
      </w:pPr>
      <w:r>
        <w:t xml:space="preserve">2. andere zur Identifizierung geeignete Merkmale nach § 1 Absatz 2,</w:t>
      </w:r>
    </w:p>
    <w:p>
      <w:pPr>
        <w:ind w:left="420"/>
      </w:pPr>
      <w:r>
        <w:t xml:space="preserve">3. die in § 8 Absatz 1 Nummer 2 bis 4 des Bundeskriminalamtgesetzes genannten Daten und</w:t>
      </w:r>
    </w:p>
    <w:p>
      <w:pPr>
        <w:ind w:left="420"/>
      </w:pPr>
      <w:r>
        <w:t xml:space="preserve">4. personenbezogene Daten von Personen, die einer Straftat verdächtig sind, gemäß § 2 Absatz 2 Nummer 1.</w:t>
      </w:r>
    </w:p>
    <w:p>
      <w:r>
        <w:t xml:space="preserve">(2) Das Bundeskriminalamt kann in der nach § 34 des Bundeskriminalamtgesetzes erforderlichen Errichtungsanordnung festlegen, dass weitere personenbezogene Daten von Beschuldigten wie folgt gespeichert werden dürfen:</w:t>
      </w:r>
    </w:p>
    <w:p>
      <w:pPr>
        <w:ind w:left="420"/>
      </w:pPr>
      <w:r>
        <w:t xml:space="preserve">1. in einer delikts- und phänomenbezogenen Datei Daten gemäß § 2 Absatz 1 Nummer 1 bis 19 und 23 bis 25,</w:t>
      </w:r>
    </w:p>
    <w:p>
      <w:pPr>
        <w:ind w:left="420"/>
      </w:pPr>
      <w:r>
        <w:t xml:space="preserve">2. in einem Kriminalaktennachweis nach § 9 Absatz 1 Nummer 2 Buchstabe a Daten gemäß § 2 Absatz 1 Nummer 1, 15, 16, 19 und 20,</w:t>
      </w:r>
    </w:p>
    <w:p>
      <w:pPr>
        <w:ind w:left="420"/>
      </w:pPr>
      <w:r>
        <w:t xml:space="preserve">3. in einem Kriminalaktennachweis nach § 9 Absatz 1 Nummer 2 Buchstabe b Daten gemäß § 2 Absatz 1 Nummer 1, 15 und 16,</w:t>
      </w:r>
    </w:p>
    <w:p>
      <w:pPr>
        <w:ind w:left="420"/>
      </w:pPr>
      <w:r>
        <w:t xml:space="preserve">4. in einer Gewalttäterdatei Daten gemäß § 2 Absatz 1 Nummer 1, 13, 15, 21 und 22.</w:t>
      </w:r>
    </w:p>
    <w:p>
      <w:r>
        <w:t xml:space="preserve">Für personenbezogene Daten von Personen, die einer Straftat verdächtig sind, gemäß § 2 Absatz 2 Nummer 2 gilt Satz 1 entsprechend.</w:t>
      </w:r>
    </w:p>
    <w:p>
      <w:r>
        <w:t xml:space="preserve">(3) Das Bundeskriminalamt kann in der nach § 34 des Bundeskriminalamtgesetzes erforderlichen Errichtungsanordnung festlegen, dass Daten gemäß § 3 in einer delikts- und phänomenbezogenen Datei und von Personen, bei denen Anhaltspunkte bestehen, dass sie Opfer einer künftigen Straftat werden könnten, zusätzlich in Gewalttäterdateien gespeichert werden dürfen.</w:t>
      </w:r>
    </w:p>
    <w:p>
      <w:r>
        <w:t xml:space="preserve">(4) Auf personenbezogene Daten sonstiger Personen finden die Absätze 1 und 2 entsprechende Anwendung.</w:t>
      </w:r>
    </w:p>
    <w:p>
      <w:r>
        <w:t xml:space="preserve">(5) Das Bundeskriminalamt kann in der nach § 34 des Bundeskriminalamtgesetzes erforderlichen Errichtungsanordnung festlegen, dass personenbezogene Daten, die bei der Durchführung erkennungsdienstlicher Maßnahmen erhoben worden sind, wie folgt gespeichert werden dürfen:</w:t>
      </w:r>
    </w:p>
    <w:p>
      <w:pPr>
        <w:ind w:left="420"/>
      </w:pPr>
      <w:r>
        <w:t xml:space="preserve">1. in einer erkennungsdienstlichen Datei Daten gemäß § 5 Absatz 1,</w:t>
      </w:r>
    </w:p>
    <w:p>
      <w:pPr>
        <w:ind w:left="420"/>
      </w:pPr>
      <w:r>
        <w:t xml:space="preserve">2. in der DNA-Analyse-Datei Daten gemäß § 5 Absatz 5.</w:t>
      </w:r>
    </w:p>
    <w:p>
      <w:r>
        <w:rPr>
          <w:color w:val="555555"/>
          <w:sz w:val="17"/>
        </w:rPr>
        <w:t xml:space="preserve">Zitiervorschlag: § 10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