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BJagdG — Inkrafttreten des Gesetzes</w:t>
      </w:r>
    </w:p>
    <w:p>
      <w:r>
        <w:rPr>
          <w:color w:val="555555"/>
          <w:sz w:val="18"/>
        </w:rPr>
        <w:t xml:space="preserve">Bundesjagdgesetz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(Inkrafttreten der ursprünglichen Fassung des Gesetzes)</w:t>
      </w:r>
    </w:p>
    <w:p>
      <w:r>
        <w:t xml:space="preserve">(2) (Aufhebung von Vorschriften)</w:t>
      </w:r>
    </w:p>
    <w:p>
      <w:r>
        <w:t xml:space="preserve">(3) Verweisungen auf Vorschriften, die nach Absatz 2 außer Kraft getreten sind, gelten als Verweisungen auf die entsprechenden Vorschriften dieses Gesetzes oder die entsprechenden landesrechtlichen Vorschriften.</w:t>
      </w:r>
    </w:p>
    <w:p>
      <w:r>
        <w:rPr>
          <w:color w:val="555555"/>
          <w:sz w:val="17"/>
        </w:rPr>
        <w:t xml:space="preserve">Zitiervorschlag: § 46 BJagdG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https://recht.nulegal.eu/gesetze/BJagdG/46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